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DD Request List</w:t>
      </w:r>
    </w:p>
    <w:p>
      <w:pPr>
        <w:pStyle w:val="Heading2"/>
      </w:pPr>
      <w:r>
        <w:rPr>
          <w:rFonts w:ascii="Times New Roman" w:hAnsi="Times New Roman"/>
        </w:rPr>
        <w:t>Corporate</w:t>
      </w:r>
    </w:p>
    <w:p>
      <w:pPr>
        <w:pStyle w:val="ListBullet"/>
      </w:pPr>
      <w:r>
        <w:t>Satzung, Gesellschafterliste, Cap Table, Beteiligungsverträge, Side Letter.</w:t>
      </w:r>
    </w:p>
    <w:p>
      <w:pPr>
        <w:pStyle w:val="Heading2"/>
      </w:pPr>
      <w:r>
        <w:rPr>
          <w:rFonts w:ascii="Times New Roman" w:hAnsi="Times New Roman"/>
        </w:rPr>
        <w:t>IP/Tech</w:t>
      </w:r>
    </w:p>
    <w:p>
      <w:pPr>
        <w:pStyle w:val="ListBullet"/>
      </w:pPr>
      <w:r>
        <w:t>IP Assignments Founder/Freelancer, OSS-Liste, Patentanmeldungen, Domains.</w:t>
      </w:r>
    </w:p>
    <w:p>
      <w:pPr>
        <w:pStyle w:val="Heading2"/>
      </w:pPr>
      <w:r>
        <w:rPr>
          <w:rFonts w:ascii="Times New Roman" w:hAnsi="Times New Roman"/>
        </w:rPr>
        <w:t>Data/AI</w:t>
      </w:r>
    </w:p>
    <w:p>
      <w:pPr>
        <w:pStyle w:val="ListBullet"/>
      </w:pPr>
      <w:r>
        <w:t>Trainingsdaten, DPA/AVV, TOMs, Model Cards, Kundenverträge.</w:t>
      </w:r>
    </w:p>
    <w:p>
      <w:pPr>
        <w:pStyle w:val="Heading2"/>
      </w:pPr>
      <w:r>
        <w:rPr>
          <w:rFonts w:ascii="Times New Roman" w:hAnsi="Times New Roman"/>
        </w:rPr>
        <w:t>Finance</w:t>
      </w:r>
    </w:p>
    <w:p>
      <w:pPr>
        <w:pStyle w:val="ListBullet"/>
      </w:pPr>
      <w:r>
        <w:t>BWA, Cash Forecast, Runway, Forderungen, SAFE/Wandeldarlehen, Grants.</w:t>
      </w:r>
    </w:p>
    <w:p>
      <w:pPr>
        <w:pStyle w:val="Heading2"/>
      </w:pPr>
      <w:r>
        <w:rPr>
          <w:rFonts w:ascii="Times New Roman" w:hAnsi="Times New Roman"/>
        </w:rPr>
        <w:t>Regulatory</w:t>
      </w:r>
    </w:p>
    <w:p>
      <w:pPr>
        <w:pStyle w:val="ListBullet"/>
      </w:pPr>
      <w:r>
        <w:t>Exportkontrolle, FDI, AI Act, Medizinprodukt, BaFin falls FinTech.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