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Legitime Deal-Taktik — Leitplanken für die laufenden Verhandlungen</w:t>
      </w:r>
    </w:p>
    <w:p>
      <w:pPr>
        <w:jc w:val="left"/>
      </w:pPr>
      <w:r>
        <w:rPr>
          <w:b/>
        </w:rPr>
        <w:t>Anlass:</w:t>
      </w:r>
      <w:r>
        <w:t xml:space="preserve"> Im Greifarm-Syndikat hat ein Co-Investor vorgeschlagen, "den Angels die Pro-rata-Rechte abzukaufen, bevor sie merken, wie gut die Runde wird", und bei Moosstrom kursiert die Idee, die Bridge so knapp zu bemessen, dass Altinvestoren ohne Reserven "rausgewaschen" werden. Diese Notiz zieht die Linie.</w:t>
      </w:r>
    </w:p>
    <w:p>
      <w:pPr>
        <w:pStyle w:val="Heading2"/>
      </w:pPr>
      <w:r>
        <w:rPr>
          <w:rFonts w:ascii="Times New Roman" w:hAnsi="Times New Roman"/>
        </w:rPr>
        <w:t>Was Nebelstern darf (und soll)</w:t>
      </w:r>
    </w:p>
    <w:p>
      <w:pPr>
        <w:pStyle w:val="ListBullet"/>
      </w:pPr>
      <w:r>
        <w:rPr>
          <w:b/>
        </w:rPr>
        <w:t>Hart verhandeln</w:t>
      </w:r>
      <w:r>
        <w:t xml:space="preserve"> über Bewertung, Liquidationspräferenz (Ziel: 1x non-participating), Anti-Dilution (Ziel: broad-based weighted average, keine Full Ratchet zulasten des Teams), Informationsrechte, Pro-rata, Board-/Observer-Rechte, Vetokatalog (IP-Verkauf, Debt &gt; 250k, Budget).</w:t>
      </w:r>
    </w:p>
    <w:p>
      <w:pPr>
        <w:pStyle w:val="ListBullet"/>
      </w:pPr>
      <w:r>
        <w:rPr>
          <w:b/>
        </w:rPr>
        <w:t>Milestone-Bridge</w:t>
      </w:r>
      <w:r>
        <w:t xml:space="preserve"> bei Moosstrom: Auszahlung in Tranchen gegen verifizierte Installationszahlen ist legitime Risikosteuerung — kein treuwidriges Druckmittel, solange die Meilensteine erreichbar und transparent sind.</w:t>
      </w:r>
    </w:p>
    <w:p>
      <w:pPr>
        <w:pStyle w:val="ListBullet"/>
      </w:pPr>
      <w:r>
        <w:rPr>
          <w:b/>
        </w:rPr>
        <w:t>MFN und Side-Letter-Disclosure</w:t>
      </w:r>
      <w:r>
        <w:t>: Nebelstern verlangt Offenlegung aller Side Letter im Syndikat (Register, Aktenstück 23) und eine MFN-Klausel. Das ist Gleichbehandlungs-Hygiene, kein Affront.</w:t>
      </w:r>
    </w:p>
    <w:p>
      <w:pPr>
        <w:pStyle w:val="ListBullet"/>
      </w:pPr>
      <w:r>
        <w:rPr>
          <w:b/>
        </w:rPr>
        <w:t>Schweigen über eigene Reserven</w:t>
      </w:r>
      <w:r>
        <w:t>: Nebelstern muss seine Follow-on-Strategie (Aktenstück 13) nicht offenlegen. Schweigen ist keine Täuschung.</w:t>
      </w:r>
    </w:p>
    <w:p>
      <w:pPr>
        <w:pStyle w:val="Heading2"/>
      </w:pPr>
      <w:r>
        <w:rPr>
          <w:rFonts w:ascii="Times New Roman" w:hAnsi="Times New Roman"/>
        </w:rPr>
        <w:t>Was Nebelstern nicht tut</w:t>
      </w:r>
    </w:p>
    <w:p>
      <w:pPr>
        <w:pStyle w:val="ListBullet"/>
      </w:pPr>
      <w:r>
        <w:rPr>
          <w:b/>
        </w:rPr>
        <w:t>Verdeckte Absprachen</w:t>
      </w:r>
      <w:r>
        <w:t xml:space="preserve"> im Syndikat zulasten Dritter (abgestimmtes Niedrigbieten, heimliche Zusatzkonditionen ohne Disclosure): zivilrechtlich riskant (§ 826 BGB, Treuepflichten unter Gesellschaftern nach Closing) und reputationszerstörend in einem Markt, der von Dealflow durch Vertrauen lebt.</w:t>
      </w:r>
    </w:p>
    <w:p>
      <w:pPr>
        <w:pStyle w:val="ListBullet"/>
      </w:pPr>
      <w:r>
        <w:rPr>
          <w:b/>
        </w:rPr>
        <w:t>Irreführende Founder-Kommunikation</w:t>
      </w:r>
      <w:r>
        <w:t>: Kein Vorspiegeln nicht vorhandener Konkurrenzangebote, keine "letzte Frist", die keine ist. Gründer von heute sind Referenzgeber von morgen.</w:t>
      </w:r>
    </w:p>
    <w:p>
      <w:pPr>
        <w:pStyle w:val="ListBullet"/>
      </w:pPr>
      <w:r>
        <w:rPr>
          <w:b/>
        </w:rPr>
        <w:t>Treuwidrige Blockade</w:t>
      </w:r>
      <w:r>
        <w:t>: Nach Investment unterliegen auch VC-Gesellschafter der gesellschaftsrechtlichen Treuepflicht (BGH-Linie zur GmbH-Treuepflicht; bei Sanierungsfällen: "Sanieren oder Ausscheiden"-Wertungen). Ein Veto darf Interessen schützen, nicht als Erpressungshebel für Sonderkonditionen dienen.</w:t>
      </w:r>
    </w:p>
    <w:p>
      <w:pPr>
        <w:pStyle w:val="ListBullet"/>
      </w:pPr>
      <w:r>
        <w:rPr>
          <w:b/>
        </w:rPr>
        <w:t>Künstliches Aushungern</w:t>
      </w:r>
      <w:r>
        <w:t xml:space="preserve"> schwächerer Investoren ohne vertragliche Grundlage: Die Moosstrom-Bridge wird so bemessen, dass sie den verifizierten Bedarf deckt (Liquiditätsplan + externer Check, Aktenstück 27); Pay-to-Play-Mechanik nur, wenn sie offen verhandelt im Term Sheet steht — nicht als faktischer Überraschungseffekt.</w:t>
      </w:r>
    </w:p>
    <w:p>
      <w:pPr>
        <w:pStyle w:val="Heading2"/>
      </w:pPr>
      <w:r>
        <w:rPr>
          <w:rFonts w:ascii="Times New Roman" w:hAnsi="Times New Roman"/>
        </w:rPr>
        <w:t>Praxisregel</w:t>
      </w:r>
    </w:p>
    <w:p>
      <w:pPr>
        <w:jc w:val="left"/>
      </w:pPr>
      <w:r>
        <w:t>Vor jeder taktischen Maßnahme zwei Fragen: (1) Können wir sie dem gesamten Cap Table schriftlich erklären, ohne uns zu schämen? (2) Hält sie einer späteren gerichtlichen Treuepflicht-Prüfung stand? Zweimal Ja → machen. Sonst lassen.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