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Board Observer Note — Greifarm Robotics Series A</w:t>
      </w:r>
    </w:p>
    <w:p>
      <w:pPr>
        <w:jc w:val="left"/>
      </w:pPr>
      <w:r>
        <w:rPr>
          <w:b/>
        </w:rPr>
        <w:t>Von:</w:t>
      </w:r>
      <w:r>
        <w:t xml:space="preserve"> Dr. Sina Albright (Nebelstern Ventures, designierte Board Observerin)</w:t>
      </w:r>
    </w:p>
    <w:p>
      <w:pPr>
        <w:jc w:val="left"/>
      </w:pPr>
      <w:r>
        <w:rPr>
          <w:b/>
        </w:rPr>
        <w:t>An:</w:t>
      </w:r>
      <w:r>
        <w:t xml:space="preserve"> Investment Committee Nebelstern</w:t>
      </w:r>
    </w:p>
    <w:p>
      <w:pPr>
        <w:jc w:val="left"/>
      </w:pPr>
      <w:r>
        <w:rPr>
          <w:b/>
        </w:rPr>
        <w:t>Datum:</w:t>
      </w:r>
      <w:r>
        <w:t xml:space="preserve"> 04.06.2026</w:t>
      </w:r>
    </w:p>
    <w:p>
      <w:pPr>
        <w:jc w:val="left"/>
      </w:pPr>
      <w:r>
        <w:rPr>
          <w:b/>
        </w:rPr>
        <w:t>Status:</w:t>
      </w:r>
      <w:r>
        <w:t xml:space="preserve"> Vorbereitung erstes Board Meeting nach Closing (geplant 14.07.2026)</w:t>
      </w:r>
    </w:p>
    <w:p>
      <w:pPr>
        <w:pStyle w:val="Heading2"/>
      </w:pPr>
      <w:r>
        <w:rPr>
          <w:rFonts w:ascii="Times New Roman" w:hAnsi="Times New Roman"/>
        </w:rPr>
        <w:t>Rolle und Grenzen</w:t>
      </w:r>
    </w:p>
    <w:p>
      <w:pPr>
        <w:jc w:val="left"/>
      </w:pPr>
      <w:r>
        <w:t xml:space="preserve">Der Observer-Sitz (Term Sheet Ziff. 9, Side Letter Nebelstern) gibt </w:t>
      </w:r>
      <w:r>
        <w:rPr>
          <w:b/>
        </w:rPr>
        <w:t>Anwesenheits- und Informationsrechte, kein Stimmrecht</w:t>
      </w:r>
      <w:r>
        <w:t>. Konsequenzen:</w:t>
      </w:r>
    </w:p>
    <w:p>
      <w:pPr>
        <w:pStyle w:val="ListBullet"/>
      </w:pPr>
      <w:r>
        <w:t>Ich führe nicht operativ und stimme nicht ab — auch nicht "informell per Handzeichen". Jede Mitwirkung, die wie Geschäftsführung aussieht, gefährdet die Haftungsabschirmung (faktische Geschäftsführung; bei Krisennähe § 15b InsO-Pflichtenkreis!) und ist zu unterlassen.</w:t>
      </w:r>
    </w:p>
    <w:p>
      <w:pPr>
        <w:pStyle w:val="ListBullet"/>
      </w:pPr>
      <w:r>
        <w:t>Informationsrechte: Board-Pack spätestens 5 Werktage vor Sitzung, Monats-KPIs (Cash, Runway, ARR-Pipeline, Liefertermine), Ad-hoc bei Covenant-/Liquiditätsereignissen. Verstöße dokumentieren — sie sind im Follow-on relevant.</w:t>
      </w:r>
    </w:p>
    <w:p>
      <w:pPr>
        <w:pStyle w:val="ListBullet"/>
      </w:pPr>
      <w:r>
        <w:t>Vertraulichkeit: Weitergabe ans Family Office nur aggregiert gemäß Side-Letter-Informationskaskade; keine Rohdaten der Gesellschaft an Dritte.</w:t>
      </w:r>
    </w:p>
    <w:p>
      <w:pPr>
        <w:pStyle w:val="Heading2"/>
      </w:pPr>
      <w:r>
        <w:rPr>
          <w:rFonts w:ascii="Times New Roman" w:hAnsi="Times New Roman"/>
        </w:rPr>
        <w:t>Consent-Workflow (vor dem ersten Meeting zu klären)</w:t>
      </w:r>
    </w:p>
    <w:p>
      <w:pPr>
        <w:jc w:val="left"/>
      </w:pPr>
      <w:r>
        <w:t>Aus dem Gesellschaftsvertrag/SHA müssen folgende Zustimmungsvorbehalte operativ sauber laufen — wer lädt ein, welche Frist, welche Mehrheit: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Schwelle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Gremium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Fremdkapitalaufnahme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&gt; 250.000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Investor Majority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IP-Übertragung/Exklusivlizenz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jede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Investor Majority + Gründer-Konsultation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Exportkontrollrelevante Verträge (Dual-Use-Robotik!)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jede mit Nicht-EU-Bezug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Vorab-Info Board + BAFA-Check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Budgetabweichung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&gt; 15 % Quartal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Board-Beschluss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ESOP-Erweiterung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jede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Investor Majority</w:t>
            </w:r>
          </w:p>
        </w:tc>
      </w:tr>
    </w:tbl>
    <w:p>
      <w:pPr>
        <w:jc w:val="left"/>
      </w:pPr>
      <w:r>
        <w:t xml:space="preserve">Der Exportkontroll-Punkt ist bei Greifarm (Greifsysteme mit möglicher Dual-Use-Einstufung, Anfrage eines koreanischen Distributors liegt vor) </w:t>
      </w:r>
      <w:r>
        <w:rPr>
          <w:b/>
        </w:rPr>
        <w:t>nicht theoretisch</w:t>
      </w:r>
      <w:r>
        <w:t xml:space="preserve"> — vor dem ersten Board Meeting Klärung mit Legal, ob die Distributor-Anfrage meldepflichtige Güter betrifft.</w:t>
      </w:r>
    </w:p>
    <w:p>
      <w:pPr>
        <w:pStyle w:val="Heading2"/>
      </w:pPr>
      <w:r>
        <w:rPr>
          <w:rFonts w:ascii="Times New Roman" w:hAnsi="Times New Roman"/>
        </w:rPr>
        <w:t>Struktur jeder Board-Note (ab sofort)</w:t>
      </w:r>
    </w:p>
    <w:p>
      <w:pPr>
        <w:pStyle w:val="ListNumber"/>
      </w:pPr>
      <w:r>
        <w:rPr>
          <w:b/>
        </w:rPr>
        <w:t>Beobachtung</w:t>
      </w:r>
      <w:r>
        <w:t xml:space="preserve"> (Fakten aus Sitzung/Unterlagen, mit Quelle),</w:t>
      </w:r>
    </w:p>
    <w:p>
      <w:pPr>
        <w:pStyle w:val="ListNumber"/>
      </w:pPr>
      <w:r>
        <w:rPr>
          <w:b/>
        </w:rPr>
        <w:t>Empfehlung</w:t>
      </w:r>
      <w:r>
        <w:t xml:space="preserve"> (klar als Meinung Nebelsterns markiert),</w:t>
      </w:r>
    </w:p>
    <w:p>
      <w:pPr>
        <w:pStyle w:val="ListNumber"/>
      </w:pPr>
      <w:r>
        <w:rPr>
          <w:b/>
        </w:rPr>
        <w:t>Beschlussbedarf</w:t>
      </w:r>
      <w:r>
        <w:t xml:space="preserve"> (was braucht förmlichen Beschluss, bis wann, welche Mehrheit).</w:t>
      </w:r>
    </w:p>
    <w:p>
      <w:pPr>
        <w:jc w:val="left"/>
      </w:pPr>
      <w:r>
        <w:t>Diese Trennung schützt doppelt: gegen den Vorwurf faktischer Geschäftsführung und gegen spätere Streitigkeiten, was Nebelstern wusste und riet.</w:t>
      </w:r>
    </w:p>
    <w:p>
      <w:pPr>
        <w:pStyle w:val="Heading2"/>
      </w:pPr>
      <w:r>
        <w:rPr>
          <w:rFonts w:ascii="Times New Roman" w:hAnsi="Times New Roman"/>
        </w:rPr>
        <w:t>Offene Punkte vor dem 14.07.</w:t>
      </w:r>
    </w:p>
    <w:p>
      <w:pPr>
        <w:pStyle w:val="ListBullet"/>
      </w:pPr>
      <w:r>
        <w:t>Geschäftsordnung des Boards: Observer-Passus gegenlesen (Rederecht ja, Antragsrecht nein).</w:t>
      </w:r>
    </w:p>
    <w:p>
      <w:pPr>
        <w:pStyle w:val="ListBullet"/>
      </w:pPr>
      <w:r>
        <w:t>D&amp;O-Police der Gesellschaft: Observer in den Versichertenkreis aufnehmen lassen (marktüblich; Greifarm-Police bisher nur Organe).</w:t>
      </w:r>
    </w:p>
    <w:p>
      <w:pPr>
        <w:pStyle w:val="ListBullet"/>
      </w:pPr>
      <w:r>
        <w:t>Lieferzeiten-Risiko aus dem Reference Call (Aktenstück 19) als Frage Nr. 1 ins erste Board-Pack.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