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SAFE vs. deutsches Wandeldarlehen — Strukturmemo Kognitix</w:t>
      </w:r>
    </w:p>
    <w:p>
      <w:pPr>
        <w:jc w:val="left"/>
      </w:pPr>
      <w:r>
        <w:rPr>
          <w:b/>
        </w:rPr>
        <w:t>Anlass:</w:t>
      </w:r>
      <w:r>
        <w:t xml:space="preserve"> Im Kognitix-Datenraum liegt ein </w:t>
      </w:r>
      <w:r>
        <w:rPr>
          <w:b/>
        </w:rPr>
        <w:t>Delaware-SAFE</w:t>
      </w:r>
      <w:r>
        <w:t xml:space="preserve"> (Post-Money Valuation Cap 8 Mio. USD, Discount 20 %), das ein US-Angel "einfach auch für die deutschen Investoren" verwenden möchte. Das funktioniert für die deutsche GmbH nicht — diese Notiz erklärt warum und was stattdessen gilt.</w:t>
      </w:r>
    </w:p>
    <w:p>
      <w:pPr>
        <w:pStyle w:val="Heading2"/>
      </w:pPr>
      <w:r>
        <w:rPr>
          <w:rFonts w:ascii="Times New Roman" w:hAnsi="Times New Roman"/>
        </w:rPr>
        <w:t>Warum das SAFE nicht passt</w:t>
      </w:r>
    </w:p>
    <w:p>
      <w:pPr>
        <w:jc w:val="left"/>
      </w:pPr>
      <w:r>
        <w:t xml:space="preserve">Das SAFE ist </w:t>
      </w:r>
      <w:r>
        <w:rPr>
          <w:b/>
        </w:rPr>
        <w:t>kein Darlehen</w:t>
      </w:r>
      <w:r>
        <w:t xml:space="preserve"> (keine Rückzahlung, kein Zins, keine Laufzeit), sondern ein Anwartschaftsvertrag auf künftige Anteile. Es setzt das US-Umfeld voraus: formfreie Anteilsausgabe, authorized shares, kein Notar. Bei der GmbH kollidiert es mit zwingendem Recht:</w:t>
      </w:r>
    </w:p>
    <w:p>
      <w:pPr>
        <w:pStyle w:val="ListBullet"/>
      </w:pPr>
      <w:r>
        <w:rPr>
          <w:b/>
        </w:rPr>
        <w:t>Anteilsübernahme braucht Kapitalerhöhung</w:t>
      </w:r>
      <w:r>
        <w:t xml:space="preserve"> (§§ 55 ff. GmbHG) mit notarieller Beurkundung des Beschlusses und notarieller Übernahmeerklärung — "automatische Wandlung" wie im SAFE gibt es nicht.</w:t>
      </w:r>
    </w:p>
    <w:p>
      <w:pPr>
        <w:pStyle w:val="ListBullet"/>
      </w:pPr>
      <w:r>
        <w:t xml:space="preserve">Die Wandlung hängt damit zwingend an einem </w:t>
      </w:r>
      <w:r>
        <w:rPr>
          <w:b/>
        </w:rPr>
        <w:t>künftigen Gesellschafterbeschluss</w:t>
      </w:r>
      <w:r>
        <w:t>; der Investor braucht Absicherung, dass die Gesellschafter ihn fassen (Mitwirkungspflicht aller Bestandsgesellschafter, idealerweise schon jetzt beschlossene Vorratsermächtigung bzw. Verpflichtung im Gesellschafterbeschluss zur künftigen Kapitalerhöhung).</w:t>
      </w:r>
    </w:p>
    <w:p>
      <w:pPr>
        <w:pStyle w:val="ListBullet"/>
      </w:pPr>
      <w:r>
        <w:rPr>
          <w:b/>
        </w:rPr>
        <w:t>Beurkundungsfrage des Wandeldarlehens selbst</w:t>
      </w:r>
      <w:r>
        <w:t xml:space="preserve">: Nach der Kammergerichts-Linie kann ein Wandeldarlehen mit Wandlungs-PFLICHT des Darlehensgebers beurkundungspflichtig sein (§ 53 Abs. 2 GmbHG-Nähe bzw. § 15 Abs. 4 GmbHG-Wertungen — Streitstand!). Marktpraxis: bei Wandlungs-RECHT ohne Pflicht und sauberer Gestaltung wird häufig privatschriftlich gearbeitet; bei Pflicht oder Unsicherheit beurkunden. Kognitix: Wir wollen die Wandlungspflicht des Investors (Sicherheit für die Runde) → </w:t>
      </w:r>
      <w:r>
        <w:rPr>
          <w:b/>
        </w:rPr>
        <w:t>Empfehlung: beurkunden</w:t>
      </w:r>
      <w:r>
        <w:t xml:space="preserve"> und das Kostenargument (niedriger Geschäftswert) akzeptieren. Az der Leitentscheidungen im Mandat live verifizieren.</w:t>
      </w:r>
    </w:p>
    <w:p>
      <w:pPr>
        <w:pStyle w:val="Heading2"/>
      </w:pPr>
      <w:r>
        <w:rPr>
          <w:rFonts w:ascii="Times New Roman" w:hAnsi="Times New Roman"/>
        </w:rPr>
        <w:t>Was das deutsche Wandeldarlehen regeln muss (Checkliste für Aktenstück 22)</w:t>
      </w:r>
    </w:p>
    <w:p>
      <w:pPr>
        <w:pStyle w:val="ListNumber"/>
      </w:pPr>
      <w:r>
        <w:rPr>
          <w:b/>
        </w:rPr>
        <w:t>Darlehensbetrag, Zins</w:t>
      </w:r>
      <w:r>
        <w:t xml:space="preserve"> (PIK 6 %, endfällig), </w:t>
      </w:r>
      <w:r>
        <w:rPr>
          <w:b/>
        </w:rPr>
        <w:t>Rang</w:t>
      </w:r>
      <w:r>
        <w:t>: qualifizierter Rangrücktritt (§ 19 Abs. 2 S. 2 InsO-tauglich formuliert — sonst droht Passivierung im Überschuldungsstatus und faktisch Finanzierungssperre).</w:t>
      </w:r>
    </w:p>
    <w:p>
      <w:pPr>
        <w:pStyle w:val="ListNumber"/>
      </w:pPr>
      <w:r>
        <w:rPr>
          <w:b/>
        </w:rPr>
        <w:t>Qualifizierte Finanzierungsrunde</w:t>
      </w:r>
      <w:r>
        <w:t>: Definition (Eigenkapital ≥ 1,5 Mio. EUR von Dritten), automatische Wandlungspflicht beider Seiten.</w:t>
      </w:r>
    </w:p>
    <w:p>
      <w:pPr>
        <w:pStyle w:val="ListNumber"/>
      </w:pPr>
      <w:r>
        <w:rPr>
          <w:b/>
        </w:rPr>
        <w:t>Cap und Discount</w:t>
      </w:r>
      <w:r>
        <w:t>: Cap 7 Mio. EUR pre-money, Discount 20 %, das Günstigere gilt; Verwässerungsschutz nur über den Cap, kein zusätzliches Ratchet.</w:t>
      </w:r>
    </w:p>
    <w:p>
      <w:pPr>
        <w:pStyle w:val="ListNumber"/>
      </w:pPr>
      <w:r>
        <w:rPr>
          <w:b/>
        </w:rPr>
        <w:t>Laufzeitende ohne Runde</w:t>
      </w:r>
      <w:r>
        <w:t>: Wahlrecht Wandlung zum Cap oder Rückzahlung; KEINE automatische Fälligkeit, die das Startup in die Insolvenz schießt (Verlängerungsmechanik mit Investor-Majority).</w:t>
      </w:r>
    </w:p>
    <w:p>
      <w:pPr>
        <w:pStyle w:val="ListNumber"/>
      </w:pPr>
      <w:r>
        <w:rPr>
          <w:b/>
        </w:rPr>
        <w:t>Exit vor Wandlung</w:t>
      </w:r>
      <w:r>
        <w:t>: Wandlung unmittelbar vor Exit oder Multiple auf den Darlehensbetrag (hier: 1,5x) — sonst entgeht dem Darlehensgeber der Upside.</w:t>
      </w:r>
    </w:p>
    <w:p>
      <w:pPr>
        <w:pStyle w:val="ListNumber"/>
      </w:pPr>
      <w:r>
        <w:rPr>
          <w:b/>
        </w:rPr>
        <w:t>Notar-/Beschlusslogik</w:t>
      </w:r>
      <w:r>
        <w:t>: Verpflichtung aller Gesellschafter zur Mitwirkung an der Wandlungs-Kapitalerhöhung bereits jetzt; Vollmachten für das Closing.</w:t>
      </w:r>
    </w:p>
    <w:p>
      <w:pPr>
        <w:pStyle w:val="ListNumber"/>
      </w:pPr>
      <w:r>
        <w:rPr>
          <w:b/>
        </w:rPr>
        <w:t>Steuern</w:t>
      </w:r>
      <w:r>
        <w:t>: Zinsen → KapESt-Thematik; bei Wandlung Disagio-/Discount-Behandlung mit StB klären.</w:t>
      </w:r>
    </w:p>
    <w:p>
      <w:pPr>
        <w:pStyle w:val="Heading2"/>
      </w:pPr>
      <w:r>
        <w:rPr>
          <w:rFonts w:ascii="Times New Roman" w:hAnsi="Times New Roman"/>
        </w:rPr>
        <w:t>Arbeitsanweisung</w:t>
      </w:r>
    </w:p>
    <w:p>
      <w:pPr>
        <w:jc w:val="left"/>
      </w:pPr>
      <w:r>
        <w:t xml:space="preserve">SAFE-Sprache (Cap/Discount-Mechanik) als </w:t>
      </w:r>
      <w:r>
        <w:rPr>
          <w:b/>
        </w:rPr>
        <w:t>wirtschaftlicher Ausgangspunkt</w:t>
      </w:r>
      <w:r>
        <w:t xml:space="preserve"> ins deutsche Term Sheet (Aktenstück 22) übersetzen; das Delaware-Dokument selbst wandert in den Ordner "nicht verwendbar — US". Dem US-Angel ein zweiseitiges Englisch-Memo, warum die GmbH anders funktioniert (Frau Okonkwo erstellt bis Freitag).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