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Founder Reference Calls — Gesprächsnotizen</w:t>
      </w:r>
    </w:p>
    <w:p>
      <w:pPr>
        <w:jc w:val="left"/>
      </w:pPr>
      <w:r>
        <w:rPr>
          <w:b/>
        </w:rPr>
        <w:t>Geführt von:</w:t>
      </w:r>
      <w:r>
        <w:t xml:space="preserve"> Dr. Albright, Hr. Demirel (Nebelstern)</w:t>
      </w:r>
    </w:p>
    <w:p>
      <w:pPr>
        <w:jc w:val="left"/>
      </w:pPr>
      <w:r>
        <w:rPr>
          <w:b/>
        </w:rPr>
        <w:t>Zeitraum:</w:t>
      </w:r>
      <w:r>
        <w:t xml:space="preserve"> 26.05.-02.06.2026</w:t>
      </w:r>
    </w:p>
    <w:p>
      <w:pPr>
        <w:jc w:val="left"/>
      </w:pPr>
      <w:r>
        <w:rPr>
          <w:b/>
        </w:rPr>
        <w:t>Methodik:</w:t>
      </w:r>
      <w:r>
        <w:t xml:space="preserve"> Halbstrukturierte Calls à 30 Min.; Zusagen der Vertraulichkeit gegenüber den Referenzgebern; Aussagen werden als </w:t>
      </w:r>
      <w:r>
        <w:rPr>
          <w:b/>
        </w:rPr>
        <w:t>Signale</w:t>
      </w:r>
      <w:r>
        <w:t xml:space="preserve"> gewertet und nicht ohne Beleg als Tatsachen ins IC-Memo übernommen (Aktenstück 12/21 verweisen hierauf).</w:t>
      </w:r>
    </w:p>
    <w:p>
      <w:pPr>
        <w:pStyle w:val="Heading2"/>
      </w:pPr>
      <w:r>
        <w:rPr>
          <w:rFonts w:ascii="Times New Roman" w:hAnsi="Times New Roman"/>
        </w:rPr>
        <w:t>Kognitix (KI-SaaS, Pre-Seed-Wandeldarlehen)</w:t>
      </w:r>
    </w:p>
    <w:p>
      <w:pPr>
        <w:jc w:val="left"/>
      </w:pPr>
      <w:r>
        <w:rPr>
          <w:b/>
        </w:rPr>
        <w:t>Referenz 1 — Ehemaliger Pilotkunde (Head of Ops, Logistikkonzern):</w:t>
      </w:r>
    </w:p>
    <w:p>
      <w:pPr>
        <w:jc w:val="left"/>
      </w:pPr>
      <w:r>
        <w:t xml:space="preserve">Produktlob glaubwürdig und detailliert ("Onboarding in zwei Wochen, Forecast-Qualität messbar besser"). ABER auf Nachfrage: Der Pilot lief aus dem </w:t>
      </w:r>
      <w:r>
        <w:rPr>
          <w:b/>
        </w:rPr>
        <w:t>Innovationsbudget, nicht aus der Linie</w:t>
      </w:r>
      <w:r>
        <w:t xml:space="preserve"> — "ein Budget-Commit für den Rollout wäre ein anderes Gespräch gewesen; das Projekt konkurrierte intern mit zwei anderen Tools." </w:t>
      </w:r>
      <w:r>
        <w:rPr>
          <w:b/>
        </w:rPr>
        <w:t>Signal:</w:t>
      </w:r>
      <w:r>
        <w:t xml:space="preserve"> Product-Market-Fit ja, Zahlungsbereitschaft der Linie unbewiesen. Folgefrage an Gründer: Wie viele der 7 Piloten haben Liniebudget? (Ins nächste Founder-Update, Aktenstück 32.)</w:t>
      </w:r>
    </w:p>
    <w:p>
      <w:pPr>
        <w:jc w:val="left"/>
      </w:pPr>
      <w:r>
        <w:rPr>
          <w:b/>
        </w:rPr>
        <w:t>Referenz 2 — Ex-Mitgründer aus früherem Startup des CEO:</w:t>
      </w:r>
    </w:p>
    <w:p>
      <w:pPr>
        <w:jc w:val="left"/>
      </w:pPr>
      <w:r>
        <w:t>Bestätigt Integrität und Lernfähigkeit; Trennung damals "über Tempo, nicht über Ethik". Keine Red Flags.</w:t>
      </w:r>
    </w:p>
    <w:p>
      <w:pPr>
        <w:pStyle w:val="Heading2"/>
      </w:pPr>
      <w:r>
        <w:rPr>
          <w:rFonts w:ascii="Times New Roman" w:hAnsi="Times New Roman"/>
        </w:rPr>
        <w:t>Greifarm Robotics (Series A)</w:t>
      </w:r>
    </w:p>
    <w:p>
      <w:pPr>
        <w:jc w:val="left"/>
      </w:pPr>
      <w:r>
        <w:rPr>
          <w:b/>
        </w:rPr>
        <w:t>Referenz — Produktionspartner (COO, Auftragsfertiger Süddeutschland):</w:t>
      </w:r>
    </w:p>
    <w:p>
      <w:pPr>
        <w:jc w:val="left"/>
      </w:pPr>
      <w:r>
        <w:t xml:space="preserve">Technische Substanz klar bestätigt ("Greifer-Kinematik ist zwei Jahre vor dem Wettbewerb"). Deutliche Warnung bei </w:t>
      </w:r>
      <w:r>
        <w:rPr>
          <w:b/>
        </w:rPr>
        <w:t>Lieferzeiten</w:t>
      </w:r>
      <w:r>
        <w:t xml:space="preserve">: Aktuelle Vorlaufzeit für die Präzisionsaktuatoren 26 Wochen, Single Source aus Japan; Greifarm habe Second-Source-Qualifizierung "angekündigt, aber nicht begonnen". </w:t>
      </w:r>
      <w:r>
        <w:rPr>
          <w:b/>
        </w:rPr>
        <w:t>Signal:</w:t>
      </w:r>
      <w:r>
        <w:t xml:space="preserve"> Revenue-Plan 2027 hängt an einer ungesicherten Lieferkette. Konsequenz: Second-Source-Meilenstein als Auszahlungsbedingung der Tranche 2 ins Term Sheet (Verhandlungspunkt für Aktenstück 04; Board-Frage Nr. 1, Aktenstück 16).</w:t>
      </w:r>
    </w:p>
    <w:p>
      <w:pPr>
        <w:pStyle w:val="Heading2"/>
      </w:pPr>
      <w:r>
        <w:rPr>
          <w:rFonts w:ascii="Times New Roman" w:hAnsi="Times New Roman"/>
        </w:rPr>
        <w:t>Moosstrom (Climate, Bridge-/Down-Round)</w:t>
      </w:r>
    </w:p>
    <w:p>
      <w:pPr>
        <w:jc w:val="left"/>
      </w:pPr>
      <w:r>
        <w:rPr>
          <w:b/>
        </w:rPr>
        <w:t>Referenz — Ex-CFO (einvernehmlich ausgeschieden 02/2026):</w:t>
      </w:r>
    </w:p>
    <w:p>
      <w:pPr>
        <w:jc w:val="left"/>
      </w:pPr>
      <w:r>
        <w:t xml:space="preserve">Spricht respektvoll, aber klar: Hardware-Rollout-Plan sei "vom Vertrieb geschrieben, nicht von der Produktion"; die 2025er-Installationszahlen hätten interne Forecasts dreimal verfehlt; Working-Capital-Bedarf je Installation liege real ~40 % über Pitch-Annahme. </w:t>
      </w:r>
      <w:r>
        <w:rPr>
          <w:b/>
        </w:rPr>
        <w:t>Signal:</w:t>
      </w:r>
      <w:r>
        <w:t xml:space="preserve"> Down-Round-Bewertungsdiskussion (Aktenstück 27) muss auf korrigierten Unit Economics aufsetzen; Bridge nur gegen Meilensteine + Liquiditätsplan-Verifizierung durch externen Berater.</w:t>
      </w:r>
    </w:p>
    <w:p>
      <w:pPr>
        <w:pStyle w:val="Heading2"/>
      </w:pPr>
      <w:r>
        <w:rPr>
          <w:rFonts w:ascii="Times New Roman" w:hAnsi="Times New Roman"/>
        </w:rPr>
        <w:t>Querschnitts-Lehre</w:t>
      </w:r>
    </w:p>
    <w:p>
      <w:pPr>
        <w:jc w:val="left"/>
      </w:pPr>
      <w:r>
        <w:t xml:space="preserve">Alle drei Calls bestätigen das Aktenprinzip: </w:t>
      </w:r>
      <w:r>
        <w:rPr>
          <w:b/>
        </w:rPr>
        <w:t>Lob ohne Budgetlinie, Technik ohne Lieferkette und Pläne ohne Produktionsrealität sind keine Investitionsgrundlage.</w:t>
      </w:r>
      <w:r>
        <w:t xml:space="preserve"> Jedes Signal erhält im IC-Memo eine Verifizierungsaufgabe mit Verantwortlichem und Frist; bis zur Verifizierung gilt es als Hypothese.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