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IC Memo Langfassung</w:t>
      </w:r>
    </w:p>
    <w:p>
      <w:pPr>
        <w:pStyle w:val="Heading2"/>
      </w:pPr>
      <w:r>
        <w:rPr>
          <w:rFonts w:ascii="Times New Roman" w:hAnsi="Times New Roman"/>
        </w:rPr>
        <w:t>Executive Summary</w:t>
      </w:r>
    </w:p>
    <w:p>
      <w:pPr>
        <w:jc w:val="left"/>
      </w:pPr>
      <w:r>
        <w:t>Nebelstern Ventures sollte die drei Deals nicht gleich behandeln. Greifarm Robotics ist der stärkste Kandidat für ein echtes Commitment, aber nur nach IP- und Exportkontroll-Cure. Kognitix Flow bleibt interessant, solange Datenherkunft, IP-Chain und Wandeldarlehensstruktur geklärt werden. Moosstrom Speicher ist ein Krisenfall: Follow-on nur, wenn die Bridge tatsächlich einen Meilenstein kauft und nicht bloß den nächsten schlechten Monat.</w:t>
      </w:r>
    </w:p>
    <w:p>
      <w:pPr>
        <w:pStyle w:val="Heading2"/>
      </w:pPr>
      <w:r>
        <w:rPr>
          <w:rFonts w:ascii="Times New Roman" w:hAnsi="Times New Roman"/>
        </w:rPr>
        <w:t>Kognitix Flow</w:t>
      </w:r>
    </w:p>
    <w:p>
      <w:pPr>
        <w:jc w:val="left"/>
      </w:pPr>
      <w:r>
        <w:t>Die Gründerin wirkt stark, aber die kommerzielle Traktion ist noch nicht bewiesen. Das Deck vermischt Pilotkunden, LOIs und echte Umsätze. Die KI-Claims sind investierbar, wenn die Datenherkunft dokumentiert wird. Das vorgeschlagene Delaware-SAFE ist für die deutsche GmbH nicht einfach verwendbar. Empfehlung: conditional soft commit über deutsches Wandeldarlehen, Cap bei 5 Mio. EUR, 20 Prozent Discount, qualifizierte Finanzierungsrunde ab 1,5 Mio. EUR, IP- und Daten-Covenant als Closing Condition.</w:t>
      </w:r>
    </w:p>
    <w:p>
      <w:pPr>
        <w:pStyle w:val="Heading2"/>
      </w:pPr>
      <w:r>
        <w:rPr>
          <w:rFonts w:ascii="Times New Roman" w:hAnsi="Times New Roman"/>
        </w:rPr>
        <w:t>Greifarm Robotics</w:t>
      </w:r>
    </w:p>
    <w:p>
      <w:pPr>
        <w:jc w:val="left"/>
      </w:pPr>
      <w:r>
        <w:t>Greifarm ist hardwarelastig, aber mit sichtbarer Substanz. Die Series A wird von einem guten Lead geführt. Nebelstern sollte kein Board Seat verlangen, aber einen Board Observer und starke Informationsrechte. Problematisch sind Exportkontrolle, Dual-Use-Nähe, CTO-IP und lange Lieferzeiten. Empfehlung: Commit vorbereiten, aber Closing nur nach IP Assignment, Exportkontrollmemo und KYC aller Co-Investoren.</w:t>
      </w:r>
    </w:p>
    <w:p>
      <w:pPr>
        <w:pStyle w:val="Heading2"/>
      </w:pPr>
      <w:r>
        <w:rPr>
          <w:rFonts w:ascii="Times New Roman" w:hAnsi="Times New Roman"/>
        </w:rPr>
        <w:t>Moosstrom Speicher</w:t>
      </w:r>
    </w:p>
    <w:p>
      <w:pPr>
        <w:jc w:val="left"/>
      </w:pPr>
      <w:r>
        <w:t>Moosstrom ist eine klassische Insider-Bridge-Falle. Die Gründer wollen Zeit kaufen, die Altinvestoren wollen Verwässerung als Druckmittel. Nebelstern sollte keine Bridge zeichnen, wenn die Insolvenzampel rot ist oder die Down-Round-Struktur treuwidrig wirkt. Empfehlung: maximal 600.000 EUR, tranchenweise, Milestones, Informationsrechte, keine verdeckte Herausdrängung nicht teilnehmender Minderheitsinvestoren ohne klare vertragliche Grundlage.</w:t>
      </w:r>
    </w:p>
    <w:p>
      <w:pPr>
        <w:pStyle w:val="Heading2"/>
      </w:pPr>
      <w:r>
        <w:rPr>
          <w:rFonts w:ascii="Times New Roman" w:hAnsi="Times New Roman"/>
        </w:rPr>
        <w:t>Beschlussvorschlag</w:t>
      </w:r>
    </w:p>
    <w:p>
      <w:pPr>
        <w:pStyle w:val="ListNumber"/>
      </w:pPr>
      <w:r>
        <w:t>Greifarm: term sheet conditional approve.</w:t>
      </w:r>
    </w:p>
    <w:p>
      <w:pPr>
        <w:pStyle w:val="ListNumber"/>
      </w:pPr>
      <w:r>
        <w:t>Kognitix: watch/conditional convertible loan.</w:t>
      </w:r>
    </w:p>
    <w:p>
      <w:pPr>
        <w:pStyle w:val="ListNumber"/>
      </w:pPr>
      <w:r>
        <w:t>Moosstrom: bridge nur nach Krisencheck, sonst pass.</w:t>
      </w:r>
    </w:p>
    <w:p>
      <w:pPr>
        <w:pStyle w:val="ListNumber"/>
      </w:pPr>
      <w:r>
        <w:t>Portfolio-Tracking: wöchentliches Taskboard und monatlicher Founder-Update-Standard.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