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Side Letter und MFN-Register</w:t>
      </w:r>
    </w:p>
    <w:p>
      <w:pPr>
        <w:pStyle w:val="Heading2"/>
      </w:pPr>
      <w:r>
        <w:rPr>
          <w:rFonts w:ascii="Times New Roman" w:hAnsi="Times New Roman"/>
        </w:rPr>
        <w:t>Bekannte Nebenabreden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Partei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Sonderrecht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Offenlegung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Nordstern Industrial Ventures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Investor Director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Term Sheet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Nebelstern Ventures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Board Observer, Monatsreporting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Alt-Angel Dr. Reuter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Beratungsvertrag 4.000 EUR/Monat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unklar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Interessenkonflikt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Gründer-Altgesellschafter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IP-Rücklizenz bei Founder Exit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offengelegt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Regel</w:t>
      </w:r>
    </w:p>
    <w:p>
      <w:pPr>
        <w:jc w:val="left"/>
      </w:pPr>
      <w:r>
        <w:t>Jeder Side Letter wird in ein Register aufgenommen. MFN gilt nur für wirtschaftlich oder governance-relevante Sonderrechte. Verdeckte Side Letters sind ein Closing-Stopper, wenn sie Cap Table, Erlösverteilung, Informationsrechte oder Interessenkonflikte verändern.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