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Closing Agenda Greifarm Robotics Series A</w:t>
      </w:r>
    </w:p>
    <w:p>
      <w:pPr>
        <w:pStyle w:val="ListNumber"/>
      </w:pPr>
      <w:r>
        <w:t>Final Term Sheet bestätigen.</w:t>
      </w:r>
    </w:p>
    <w:p>
      <w:pPr>
        <w:pStyle w:val="ListNumber"/>
      </w:pPr>
      <w:r>
        <w:t>KYC aller Investoren abschließen.</w:t>
      </w:r>
    </w:p>
    <w:p>
      <w:pPr>
        <w:pStyle w:val="ListNumber"/>
      </w:pPr>
      <w:r>
        <w:t>IP Assignment CTO und Freelancer unterzeichnen.</w:t>
      </w:r>
    </w:p>
    <w:p>
      <w:pPr>
        <w:pStyle w:val="ListNumber"/>
      </w:pPr>
      <w:r>
        <w:t>Exportkontroll-/FDI-Kurzvermerk einholen.</w:t>
      </w:r>
    </w:p>
    <w:p>
      <w:pPr>
        <w:pStyle w:val="ListNumber"/>
      </w:pPr>
      <w:r>
        <w:t>Satzungsänderung und Kapitalerhöhungsbeschluss vorbereiten.</w:t>
      </w:r>
    </w:p>
    <w:p>
      <w:pPr>
        <w:pStyle w:val="ListNumber"/>
      </w:pPr>
      <w:r>
        <w:t>Investment Agreement und Gesellschaftervereinbarung finalisieren.</w:t>
      </w:r>
    </w:p>
    <w:p>
      <w:pPr>
        <w:pStyle w:val="ListNumber"/>
      </w:pPr>
      <w:r>
        <w:t>Notartermin Berlin bestätigen.</w:t>
      </w:r>
    </w:p>
    <w:p>
      <w:pPr>
        <w:pStyle w:val="ListNumber"/>
      </w:pPr>
      <w:r>
        <w:t>Einzahlung auf Kapitalerhöhung und Agio nach Funds Flow.</w:t>
      </w:r>
    </w:p>
    <w:p>
      <w:pPr>
        <w:pStyle w:val="ListNumber"/>
      </w:pPr>
      <w:r>
        <w:t>Neue Gesellschafterliste einreichen.</w:t>
      </w:r>
    </w:p>
    <w:p>
      <w:pPr>
        <w:pStyle w:val="ListNumber"/>
      </w:pPr>
      <w:r>
        <w:t>Closing Bible mit Signaturen, Zahlungsbelegen, Registerstand und Side-Letter-Register erzeugen.</w:t>
      </w:r>
    </w:p>
    <w:p>
      <w:pPr>
        <w:pStyle w:val="Heading2"/>
      </w:pPr>
      <w:r>
        <w:rPr>
          <w:rFonts w:ascii="Times New Roman" w:hAnsi="Times New Roman"/>
        </w:rPr>
        <w:t>VC-Hinweis</w:t>
      </w:r>
    </w:p>
    <w:p>
      <w:pPr>
        <w:jc w:val="left"/>
      </w:pPr>
      <w:r>
        <w:t>Nebelstern darf das Geld nicht nur „überweisen, weil alle anderen schon dabei sind“. Zahlungsfluss folgt erst nach CP-Erfüllung und finaler Dokumentenliste.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