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Reference Call Transkript-Auszug</w:t>
      </w:r>
    </w:p>
    <w:p>
      <w:pPr>
        <w:jc w:val="left"/>
      </w:pPr>
      <w:r>
        <w:rPr>
          <w:b/>
        </w:rPr>
        <w:t>Gesprächspartner:</w:t>
      </w:r>
      <w:r>
        <w:t xml:space="preserve"> ehemaliger Pilotkunde Kognitix</w:t>
      </w:r>
    </w:p>
    <w:p>
      <w:pPr>
        <w:jc w:val="left"/>
      </w:pPr>
      <w:r>
        <w:rPr>
          <w:b/>
        </w:rPr>
        <w:t>Dauer:</w:t>
      </w:r>
      <w:r>
        <w:t xml:space="preserve"> 22 Minuten</w:t>
      </w:r>
    </w:p>
    <w:p>
      <w:pPr>
        <w:jc w:val="left"/>
      </w:pPr>
      <w:r>
        <w:rPr>
          <w:b/>
        </w:rPr>
        <w:t>Zusammenfassung:</w:t>
      </w:r>
    </w:p>
    <w:p>
      <w:pPr>
        <w:jc w:val="left"/>
      </w:pPr>
      <w:r>
        <w:t>Der Kunde beschreibt das Produkt als „beeindruckend schnell“, aber noch nicht stabil genug für produktive Einkaufsentscheidungen. Besonders positiv sei die Benutzeroberfläche. Negativ sei, dass die Empfehlungen nicht immer erklärbar seien und die IT-Security-Abteilung noch keine Freigabe erteilt habe. Ein Budget für 2026 sei denkbar, aber nicht beschlossen.</w:t>
      </w:r>
    </w:p>
    <w:p>
      <w:pPr>
        <w:pStyle w:val="Heading2"/>
      </w:pPr>
      <w:r>
        <w:rPr>
          <w:rFonts w:ascii="Times New Roman" w:hAnsi="Times New Roman"/>
        </w:rPr>
        <w:t>VC-Bewertung</w:t>
      </w:r>
    </w:p>
    <w:p>
      <w:pPr>
        <w:jc w:val="left"/>
      </w:pPr>
      <w:r>
        <w:t>Das ist kein Umsatzbeweis. Es ist ein starkes Produktsignal, aber schwaches Commercial-Signal. In das IC-Memo gehört: Pilotkunde positiv, Enterprise-Konvertierung offen, Security-Freigabe kritisch.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