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US/CH/UK-Brückenmemo</w:t>
      </w:r>
    </w:p>
    <w:p>
      <w:pPr>
        <w:pStyle w:val="Heading2"/>
      </w:pPr>
      <w:r>
        <w:rPr>
          <w:rFonts w:ascii="Times New Roman" w:hAnsi="Times New Roman"/>
        </w:rPr>
        <w:t>USA</w:t>
      </w:r>
    </w:p>
    <w:p>
      <w:pPr>
        <w:jc w:val="left"/>
      </w:pPr>
      <w:r>
        <w:t>US-Investoren erwarten häufig preferred stock, NVCA-nahe Dokumente, Delaware-Struktur und SAFEs. Bei deutscher GmbH muss erklärt werden, dass Geschäftsanteile, Notar, Kapitalerhöhung und Gesellschafterliste anders funktionieren. Ein Delaware Flip kann sinnvoll sein, ist aber kein Autopilot.</w:t>
      </w:r>
    </w:p>
    <w:p>
      <w:pPr>
        <w:pStyle w:val="Heading2"/>
      </w:pPr>
      <w:r>
        <w:rPr>
          <w:rFonts w:ascii="Times New Roman" w:hAnsi="Times New Roman"/>
        </w:rPr>
        <w:t>Schweiz</w:t>
      </w:r>
    </w:p>
    <w:p>
      <w:pPr>
        <w:jc w:val="left"/>
      </w:pPr>
      <w:r>
        <w:t>Schweizer Co-Investoren arbeiten oft mit Aktionärbindungsverträgen und anderen Vollzugsmechaniken. Für Nebelstern zählt: Wer unterschreibt, welche Rechte entstehen, wie funktionieren Transfers, Steuern, KYC und Informationsrechte?</w:t>
      </w:r>
    </w:p>
    <w:p>
      <w:pPr>
        <w:pStyle w:val="Heading2"/>
      </w:pPr>
      <w:r>
        <w:rPr>
          <w:rFonts w:ascii="Times New Roman" w:hAnsi="Times New Roman"/>
        </w:rPr>
        <w:t>UK</w:t>
      </w:r>
    </w:p>
    <w:p>
      <w:pPr>
        <w:jc w:val="left"/>
      </w:pPr>
      <w:r>
        <w:t>UK-Angels fragen gelegentlich nach EIS/SEIS-Logiken, EMI Options und englischen Term Sheets. Diese Begriffe dürfen nicht auf deutsche GmbH-Strukturen übertragen werden, ohne ihre Funktion neu zu prüfen.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