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Note Moosstrom - Down Round und Bridge</w:t>
      </w:r>
    </w:p>
    <w:p>
      <w:pPr>
        <w:jc w:val="left"/>
      </w:pPr>
      <w:r>
        <w:t>Moosstrom braucht Geld, aber das allein rechtfertigt keine harte Verwässerung aller nicht teilnehmenden Gesellschafter. Pay-to-play kann legitim sein, wenn vertraglich vorgesehen, transparent, verhältnismäßig und zur Rettung erforderlich. Es wird problematisch, wenn es nur dazu dient, unbequeme Minderheitsinvestoren herauszudrängen.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Nebelstern stimmt nur zu, wenn:</w:t>
      </w:r>
    </w:p>
    <w:p>
      <w:pPr>
        <w:pStyle w:val="ListBullet"/>
      </w:pPr>
      <w:r>
        <w:t>Insolvenzstatus plausibel geprüft ist,</w:t>
      </w:r>
    </w:p>
    <w:p>
      <w:pPr>
        <w:pStyle w:val="ListBullet"/>
      </w:pPr>
      <w:r>
        <w:t>Bridge in Tranchen ausgezahlt wird,</w:t>
      </w:r>
    </w:p>
    <w:p>
      <w:pPr>
        <w:pStyle w:val="ListBullet"/>
      </w:pPr>
      <w:r>
        <w:t>Meilensteine objektiv sind,</w:t>
      </w:r>
    </w:p>
    <w:p>
      <w:pPr>
        <w:pStyle w:val="ListBullet"/>
      </w:pPr>
      <w:r>
        <w:t>alle Investoren gleiche Informationsbasis haben,</w:t>
      </w:r>
    </w:p>
    <w:p>
      <w:pPr>
        <w:pStyle w:val="ListBullet"/>
      </w:pPr>
      <w:r>
        <w:t>Verwässerungsmechanik vertraglich sauber und fair ist,</w:t>
      </w:r>
    </w:p>
    <w:p>
      <w:pPr>
        <w:pStyle w:val="ListBullet"/>
      </w:pPr>
      <w:r>
        <w:t>Founders eigene Kostenmaßnahmen akzeptieren.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