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Investor Update an das Family Office</w:t>
      </w:r>
    </w:p>
    <w:p>
      <w:pPr>
        <w:jc w:val="left"/>
      </w:pPr>
      <w:r>
        <w:t>Liebe Familie Alvensleben,</w:t>
      </w:r>
    </w:p>
    <w:p>
      <w:pPr>
        <w:jc w:val="left"/>
      </w:pPr>
      <w:r>
        <w:t>kurz zum Venture-Portfolio: Wir sehen derzeit drei aktive Themen. Greifarm Robotics ist der qualitativ beste neue Deal, aber noch nicht closing-ready. Kognitix Flow bleibt spannend, braucht jedoch Daten- und IP-Klärung. Moosstrom Speicher ist eine Bridge-Situation mit erhöhtem Risiko; hier empfehlen wir kein blindes Mitziehen, sondern eine harte Milestone-Struktur.</w:t>
      </w:r>
    </w:p>
    <w:p>
      <w:pPr>
        <w:jc w:val="left"/>
      </w:pPr>
      <w:r>
        <w:t>Wichtig: Wir verbessern gerade unser Portfolio-Tracking. Alle Beteiligungen erhalten künftig ein monatliches KPI-Format, und jedes Follow-on wird mit Reserve-Logik und IC-Memo entschieden.</w:t>
      </w:r>
    </w:p>
    <w:p>
      <w:pPr>
        <w:jc w:val="left"/>
      </w:pPr>
      <w:r>
        <w:t>Beste Grüße</w:t>
      </w:r>
    </w:p>
    <w:p>
      <w:pPr>
        <w:jc w:val="left"/>
      </w:pPr>
      <w:r>
        <w:t>Nebelstern Ventures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