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Chronologie</w:t>
      </w:r>
    </w:p>
    <w:p>
      <w:pPr>
        <w:jc w:val="left"/>
      </w:pPr>
      <w:r>
        <w:t>Matthias Reimers, geboren 1978, lebt mit seiner Tochter im Wechselmodell in Bremen. Er war bis 2023 Geschäftsführer der Reimers Licht &amp; Ton GmbH, hielt aber nur 20 Prozent der Geschäftsanteile. Die Gesellschaft ist abgewickelt; ein eigenes Gewerbe betreibt er nicht mehr. Seit September 2025 arbeitet er als technischer Koordinator bei einer Messebaufirma.</w:t>
      </w:r>
    </w:p>
    <w:p>
      <w:pPr>
        <w:jc w:val="left"/>
      </w:pPr>
      <w:r>
        <w:t>Die Schulden stammen aus drei Schichten. Erstens gibt es private Konsumentendarlehen und Kreditkartenforderungen. Zweitens haften Reimers und teilweise seine frühere Ehefrau aus Bürgschaften für Gerätefinanzierungen. Drittens gibt es Altlasten aus der GmbH-Zeit: Krankenkassenbeiträge, Umsatzsteuer, ein behaupteter Sozialversicherungsbeitragsrückstand und ein Bürgschaftsregress der Hausbank.</w:t>
      </w:r>
    </w:p>
    <w:p>
      <w:pPr>
        <w:jc w:val="left"/>
      </w:pPr>
      <w:r>
        <w:t>Die Beratungsstelle hat noch keine Bescheinigung ausgestellt. Zwei Gläubiger haben bereits Kontopfändungen angekündigt. Eine Inkassostelle behauptet eine vorsätzlich unerlaubte Handlung, legt dafür aber nur ein Standardschreiben vor. Das Finanzamt weist auf eine Steuerstrafakte hin, ohne konkret mitzuteilen, ob die Forderung als von der Restschuldbefreiung ausgenommen angemeldet werden soll.</w:t>
      </w:r>
    </w:p>
    <w:p>
      <w:pPr>
        <w:pStyle w:val="Heading2"/>
      </w:pPr>
      <w:r>
        <w:rPr>
          <w:rFonts w:ascii="Times New Roman" w:hAnsi="Times New Roman"/>
        </w:rPr>
        <w:t>Chronologie</w:t>
      </w:r>
    </w:p>
    <w:p>
      <w:pPr>
        <w:pStyle w:val="ListBullet"/>
      </w:pPr>
      <w:r>
        <w:t>14.02.2023: Kündigung der Kontokorrentlinie der GmbH; private Bürgschaft wird gezogen.</w:t>
      </w:r>
    </w:p>
    <w:p>
      <w:pPr>
        <w:pStyle w:val="ListBullet"/>
      </w:pPr>
      <w:r>
        <w:t>28.06.2023: Gewerbliche Tätigkeit faktisch beendet; Reimers verkauft restliche Technik.</w:t>
      </w:r>
    </w:p>
    <w:p>
      <w:pPr>
        <w:pStyle w:val="ListBullet"/>
      </w:pPr>
      <w:r>
        <w:t>12.09.2025: Neue Festanstellung, netto ca. 2.240 EUR.</w:t>
      </w:r>
    </w:p>
    <w:p>
      <w:pPr>
        <w:pStyle w:val="ListBullet"/>
      </w:pPr>
      <w:r>
        <w:t>03.02.2026: Inkasso Mahnwelt fordert 18.420 EUR und droht Kontopfändung an.</w:t>
      </w:r>
    </w:p>
    <w:p>
      <w:pPr>
        <w:pStyle w:val="ListBullet"/>
      </w:pPr>
      <w:r>
        <w:t>17.03.2026: Finanzamt meldet 9.870 EUR Umsatzsteuer 2022/2023.</w:t>
      </w:r>
    </w:p>
    <w:p>
      <w:pPr>
        <w:pStyle w:val="ListBullet"/>
      </w:pPr>
      <w:r>
        <w:t>21.05.2026: Ersttermin Schuldnerberatung; Unterlagen unvollständig.</w:t>
      </w:r>
    </w:p>
    <w:p>
      <w:pPr>
        <w:pStyle w:val="ListBullet"/>
      </w:pPr>
      <w:r>
        <w:t>04.06.2026: Planentwurf mit Drittmittelangebot der Schwester über 6.000 EUR.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