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P-Konto-Notfallplan</w:t>
      </w:r>
    </w:p>
    <w:p>
      <w:pPr>
        <w:pStyle w:val="ListNumber"/>
      </w:pPr>
      <w:r>
        <w:t>Konto sofort in ein Pfändungsschutzkonto umwandeln lassen.</w:t>
      </w:r>
    </w:p>
    <w:p>
      <w:pPr>
        <w:pStyle w:val="ListNumber"/>
      </w:pPr>
      <w:r>
        <w:t>Bescheinigung für Kind/Unterhalt/Nachzahlungen prüfen.</w:t>
      </w:r>
    </w:p>
    <w:p>
      <w:pPr>
        <w:pStyle w:val="ListNumber"/>
      </w:pPr>
      <w:r>
        <w:t>Miete und Strom nicht aus Vergleichsmasse bedienen, sondern als Existenzsicherung führen.</w:t>
      </w:r>
    </w:p>
    <w:p>
      <w:pPr>
        <w:pStyle w:val="ListNumber"/>
      </w:pPr>
      <w:r>
        <w:t>Bei Doppelpfändung Lohn und Konto getrennt prüfen.</w:t>
      </w:r>
    </w:p>
    <w:p>
      <w:pPr>
        <w:pStyle w:val="ListNumber"/>
      </w:pPr>
      <w:r>
        <w:t>Nachzahlungen von Sozialleistungen oder Steuererstattungen gesondert sichern.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