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Antrag-Checkliste</w:t>
      </w:r>
    </w:p>
    <w:p>
      <w:pPr>
        <w:pStyle w:val="ListBullet"/>
      </w:pPr>
      <w:r>
        <w:t>Antrag auf Eröffnung des Insolvenzverfahrens.</w:t>
      </w:r>
    </w:p>
    <w:p>
      <w:pPr>
        <w:pStyle w:val="ListBullet"/>
      </w:pPr>
      <w:r>
        <w:t>Antrag auf Restschuldbefreiung.</w:t>
      </w:r>
    </w:p>
    <w:p>
      <w:pPr>
        <w:pStyle w:val="ListBullet"/>
      </w:pPr>
      <w:r>
        <w:t>Antrag auf Stundung der Verfahrenskosten.</w:t>
      </w:r>
    </w:p>
    <w:p>
      <w:pPr>
        <w:pStyle w:val="ListBullet"/>
      </w:pPr>
      <w:r>
        <w:t>Bescheinigung über Scheitern des außergerichtlichen Einigungsversuchs.</w:t>
      </w:r>
    </w:p>
    <w:p>
      <w:pPr>
        <w:pStyle w:val="ListBullet"/>
      </w:pPr>
      <w:r>
        <w:t>Schuldenbereinigungsplan.</w:t>
      </w:r>
    </w:p>
    <w:p>
      <w:pPr>
        <w:pStyle w:val="ListBullet"/>
      </w:pPr>
      <w:r>
        <w:t>Gläubiger- und Forderungsverzeichnis.</w:t>
      </w:r>
    </w:p>
    <w:p>
      <w:pPr>
        <w:pStyle w:val="ListBullet"/>
      </w:pPr>
      <w:r>
        <w:t>Vermögensverzeichnis.</w:t>
      </w:r>
    </w:p>
    <w:p>
      <w:pPr>
        <w:pStyle w:val="ListBullet"/>
      </w:pPr>
      <w:r>
        <w:t>Einkommensnachweise.</w:t>
      </w:r>
    </w:p>
    <w:p>
      <w:pPr>
        <w:pStyle w:val="ListBullet"/>
      </w:pPr>
      <w:r>
        <w:t>Mietvertrag, Unterhalt, Kontoauszüge, Pfändungsunterlagen.</w:t>
      </w:r>
    </w:p>
    <w:p>
      <w:pPr>
        <w:pStyle w:val="ListBullet"/>
      </w:pPr>
      <w:r>
        <w:t>Gesonderte Prüfung § 302 InsO bei Unterhalt, Steuer, Deliktbehauptung.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