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Begleitschreiben an das Insolvenzgericht</w:t>
      </w:r>
    </w:p>
    <w:p>
      <w:pPr>
        <w:jc w:val="left"/>
      </w:pPr>
      <w:r>
        <w:t>Amtsgericht Bremen</w:t>
      </w:r>
    </w:p>
    <w:p>
      <w:pPr>
        <w:jc w:val="left"/>
      </w:pPr>
      <w:r>
        <w:t>Insolvenzgericht</w:t>
      </w:r>
    </w:p>
    <w:p>
      <w:pPr>
        <w:jc w:val="left"/>
      </w:pPr>
      <w:r>
        <w:t>Ostertorstraße 25</w:t>
      </w:r>
    </w:p>
    <w:p>
      <w:pPr>
        <w:jc w:val="left"/>
      </w:pPr>
      <w:r>
        <w:t>28195 Bremen</w:t>
      </w:r>
    </w:p>
    <w:p>
      <w:pPr>
        <w:jc w:val="left"/>
      </w:pPr>
      <w:r>
        <w:rPr>
          <w:b/>
        </w:rPr>
        <w:t>Betrifft:</w:t>
      </w:r>
      <w:r>
        <w:t xml:space="preserve"> Matthias Reimers, Antrag auf Eröffnung des Verbraucherinsolvenzverfahrens, Restschuldbefreiung und Stundung der Verfahrenskosten</w:t>
      </w:r>
    </w:p>
    <w:p>
      <w:pPr>
        <w:jc w:val="left"/>
      </w:pPr>
      <w:r>
        <w:t>Sehr geehrte Damen und Herren,</w:t>
      </w:r>
    </w:p>
    <w:p>
      <w:pPr>
        <w:jc w:val="left"/>
      </w:pPr>
      <w:r>
        <w:t>für Herrn Matthias Reimers wird der Antrag auf Eröffnung des Verbraucherinsolvenzverfahrens vorbereitet. Das Formularpaket wird mit den Anlagen in der Reihenfolge eingereicht, die das Gericht verlangt. Dieses Begleitschreiben erläutert, warum Herr Reimers trotz früherer Geschäftsführerstellung das Verbraucherinsolvenzverfahren für einschlägig hält.</w:t>
      </w:r>
    </w:p>
    <w:p>
      <w:pPr>
        <w:jc w:val="left"/>
      </w:pPr>
      <w:r>
        <w:t>Herr Reimers ist derzeit nicht selbstständig tätig. Er war früher Minderheitsgesellschafter-Geschäftsführer der Reimers Licht &amp; Ton GmbH. Die Gesellschaft ist abgewickelt. Gegen Herrn Reimers persönlich bestehen nach derzeitigem Kenntnisstand keine Forderungen aus Arbeitsverhältnissen. Die Zahl der Gläubiger ist überschaubar. Die Vermögensverhältnisse sind nicht komplex. Die Schulden stammen zwar teilweise aus seiner früheren Tätigkeit, betreffen aber im Wesentlichen private Bürgschaften, private Konsumentendarlehen, Krankenkassenbeiträge, Steuern und titulierte Inkassoforderungen. Deshalb wird die Einordnung als Verbraucherinsolvenz beantragt.</w:t>
      </w:r>
    </w:p>
    <w:p>
      <w:pPr>
        <w:pStyle w:val="Heading2"/>
      </w:pPr>
      <w:r>
        <w:rPr>
          <w:rFonts w:ascii="Times New Roman" w:hAnsi="Times New Roman"/>
        </w:rPr>
        <w:t>Anlagen</w:t>
      </w:r>
    </w:p>
    <w:p>
      <w:pPr>
        <w:jc w:val="left"/>
      </w:pPr>
      <w:r>
        <w:t>Anlage 1 enthält die Personalien, Anschrift, Familienstand, Unterhaltspflichten und Erwerbssituation. Anlage 2 enthält das Vermögensverzeichnis. Anlage 3 enthält das Forderungsverzeichnis mit Gläubigeranschriften, Forderungsgrund, Aktenzeichen, Titelstatus, Sicherheiten und bestrittenen Positionen. Anlage 4 enthält das Ergebnis des außergerichtlichen Einigungsversuchs. Anlage 5 enthält den Schuldenbereinigungsplan. Anlage 6 enthält die Bescheinigung über das Scheitern des außergerichtlichen Einigungsversuchs. Anlage 7 enthält Einkommensnachweise der letzten drei Monate. Anlage 8 enthält Kontoauszüge des Pfändungsschutzkontos. Anlage 9 enthält Mietvertrag, Nebenkosten, Versicherungen und Nachweise besonderer Belastungen. Anlage 10 enthält die Erklärung zum Antrag auf Restschuldbefreiung und die Abtretungserklärung. Anlage 11 enthält den Antrag auf Stundung der Verfahrenskosten.</w:t>
      </w:r>
    </w:p>
    <w:p>
      <w:pPr>
        <w:pStyle w:val="Heading2"/>
      </w:pPr>
      <w:r>
        <w:rPr>
          <w:rFonts w:ascii="Times New Roman" w:hAnsi="Times New Roman"/>
        </w:rPr>
        <w:t>Hinweise zu behaupteten Ausnahmeforderungen</w:t>
      </w:r>
    </w:p>
    <w:p>
      <w:pPr>
        <w:jc w:val="left"/>
      </w:pPr>
      <w:r>
        <w:t>Herr Reimers bestreitet, dass eine Forderung aus vorsätzlich begangener unerlaubter Handlung besteht. Insbesondere aus der früheren Geschäftsführerstellung folgt nicht automatisch ein solcher Forderungscharakter. Soweit einzelne Gläubiger ein Deliktattribut behaupten, wird Herr Reimers dem im Prüfungstermin widersprechen. Die Steuerforderungen beruhen überwiegend auf Schätzungen und späteren Korrekturen. Eine vorsätzliche Steuerstraftat ist nicht rechtskräftig festgestellt. Unterhaltsrückstände bestehen nach derzeitigem Stand nicht.</w:t>
      </w:r>
    </w:p>
    <w:p>
      <w:pPr>
        <w:pStyle w:val="Heading2"/>
      </w:pPr>
      <w:r>
        <w:rPr>
          <w:rFonts w:ascii="Times New Roman" w:hAnsi="Times New Roman"/>
        </w:rPr>
        <w:t>Existenzsicherung</w:t>
      </w:r>
    </w:p>
    <w:p>
      <w:pPr>
        <w:jc w:val="left"/>
      </w:pPr>
      <w:r>
        <w:t>Herr Reimers führt ein Pfändungsschutzkonto. Er bewohnt eine Mietwohnung. Eine akute Stromsperre besteht nicht, allerdings gibt es Rückstände aus einer Nachforderung. Herr Reimers ist gesetzlich krankenversichert. Der Arbeitsplatz ist stabil, aber noch innerhalb der Probezeit angespannt. Das Insolvenzverfahren soll die Einzelvollstreckung bündeln und ermöglichen, dass Herr Reimers seine Erwerbstätigkeit und die Betreuung seiner Tochter aufrechterhält.</w:t>
      </w:r>
    </w:p>
    <w:p>
      <w:pPr>
        <w:pStyle w:val="Heading2"/>
      </w:pPr>
      <w:r>
        <w:rPr>
          <w:rFonts w:ascii="Times New Roman" w:hAnsi="Times New Roman"/>
        </w:rPr>
        <w:t>Bitte an das Gericht</w:t>
      </w:r>
    </w:p>
    <w:p>
      <w:pPr>
        <w:jc w:val="left"/>
      </w:pPr>
      <w:r>
        <w:t>Das Gericht wird gebeten, etwaige Nachforderungen frühzeitig und konkret zu bezeichnen. Herr Reimers ist bemüht, die Unterlagen vollständig einzureichen. Sollte das Gericht die Verfahrensart anders beurteilen, wird um einen Hinweis gebeten, damit die Schuldnerberatung die erforderliche Umstellung prüfen kann. Zugleich wird beantragt, die Stundung der Verfahrenskosten zu bewilligen, weil pfändbares Vermögen nicht vorhanden ist und die laufenden Ausgaben das Einkommen weitgehend ausschöpfen.</w:t>
      </w:r>
    </w:p>
    <w:p>
      <w:pPr>
        <w:jc w:val="left"/>
      </w:pPr>
      <w:r>
        <w:t>Mit freundlichen Grüßen</w:t>
      </w:r>
    </w:p>
    <w:p>
      <w:pPr>
        <w:jc w:val="left"/>
      </w:pPr>
      <w:r>
        <w:t>Entwurf für die Schuldnerberatung / noch nicht versandt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