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Gläubigerreaktionen und Zustelllog</w:t>
      </w:r>
    </w:p>
    <w:p>
      <w:pPr>
        <w:pStyle w:val="Heading2"/>
      </w:pPr>
      <w:r>
        <w:rPr>
          <w:rFonts w:ascii="Times New Roman" w:hAnsi="Times New Roman"/>
        </w:rPr>
        <w:t>Versandrunde</w:t>
      </w:r>
    </w:p>
    <w:p>
      <w:pPr>
        <w:jc w:val="left"/>
      </w:pPr>
      <w:r>
        <w:t>Am 20.06.2026 wurden die Planunterlagen an alle bekannten Gläubiger versandt. Die Schuldnerberatung hat die Schreiben per Einwurf-Einschreiben aufgegeben und zusätzlich per E-Mail versandt, soweit sichere Adressen bekannt waren. Die Gläubiger erhielten eine Frist bis zum 18.07.2026.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Versand</w:t>
            </w:r>
          </w:p>
        </w:tc>
        <w:tc>
          <w:tcPr>
            <w:tcW w:type="dxa" w:w="2268"/>
          </w:tcPr>
          <w:p>
            <w:r>
              <w:rPr>
                <w:rFonts w:ascii="Times New Roman" w:hAnsi="Times New Roman"/>
                <w:b/>
                <w:sz w:val="20"/>
              </w:rPr>
              <w:t>Reaktion</w:t>
            </w:r>
          </w:p>
        </w:tc>
        <w:tc>
          <w:tcPr>
            <w:tcW w:type="dxa" w:w="2268"/>
          </w:tcPr>
          <w:p>
            <w:r>
              <w:rPr>
                <w:rFonts w:ascii="Times New Roman" w:hAnsi="Times New Roman"/>
                <w:b/>
                <w:sz w:val="20"/>
              </w:rPr>
              <w:t>Problem</w:t>
            </w:r>
          </w:p>
        </w:tc>
      </w:tr>
      <w:tr>
        <w:tc>
          <w:tcPr>
            <w:tcW w:type="dxa" w:w="2268"/>
          </w:tcPr>
          <w:p>
            <w:r>
              <w:rPr>
                <w:rFonts w:ascii="Times New Roman" w:hAnsi="Times New Roman"/>
                <w:sz w:val="20"/>
              </w:rPr>
              <w:t>Bremer Handelsbank AG</w:t>
            </w:r>
          </w:p>
        </w:tc>
        <w:tc>
          <w:tcPr>
            <w:tcW w:type="dxa" w:w="2268"/>
          </w:tcPr>
          <w:p>
            <w:r>
              <w:rPr>
                <w:rFonts w:ascii="Times New Roman" w:hAnsi="Times New Roman"/>
                <w:sz w:val="20"/>
              </w:rPr>
              <w:t>Post + E-Mail</w:t>
            </w:r>
          </w:p>
        </w:tc>
        <w:tc>
          <w:tcPr>
            <w:tcW w:type="dxa" w:w="2268"/>
          </w:tcPr>
          <w:p>
            <w:r>
              <w:rPr>
                <w:rFonts w:ascii="Times New Roman" w:hAnsi="Times New Roman"/>
                <w:sz w:val="20"/>
              </w:rPr>
              <w:t>Ablehnung, aber Vergleichsbereitschaft bei 12.000 EUR Einmalzahlung</w:t>
            </w:r>
          </w:p>
        </w:tc>
        <w:tc>
          <w:tcPr>
            <w:tcW w:type="dxa" w:w="2268"/>
          </w:tcPr>
          <w:p>
            <w:r>
              <w:rPr>
                <w:rFonts w:ascii="Times New Roman" w:hAnsi="Times New Roman"/>
                <w:sz w:val="20"/>
              </w:rPr>
              <w:t>Sicherheitenverwertung unvollständig</w:t>
            </w:r>
          </w:p>
        </w:tc>
      </w:tr>
      <w:tr>
        <w:tc>
          <w:tcPr>
            <w:tcW w:type="dxa" w:w="2268"/>
          </w:tcPr>
          <w:p>
            <w:r>
              <w:rPr>
                <w:rFonts w:ascii="Times New Roman" w:hAnsi="Times New Roman"/>
                <w:sz w:val="20"/>
              </w:rPr>
              <w:t>Finanzamt Bremen</w:t>
            </w:r>
          </w:p>
        </w:tc>
        <w:tc>
          <w:tcPr>
            <w:tcW w:type="dxa" w:w="2268"/>
          </w:tcPr>
          <w:p>
            <w:r>
              <w:rPr>
                <w:rFonts w:ascii="Times New Roman" w:hAnsi="Times New Roman"/>
                <w:sz w:val="20"/>
              </w:rPr>
              <w:t>Post</w:t>
            </w:r>
          </w:p>
        </w:tc>
        <w:tc>
          <w:tcPr>
            <w:tcW w:type="dxa" w:w="2268"/>
          </w:tcPr>
          <w:p>
            <w:r>
              <w:rPr>
                <w:rFonts w:ascii="Times New Roman" w:hAnsi="Times New Roman"/>
                <w:sz w:val="20"/>
              </w:rPr>
              <w:t>keine Reaktion bis 18.07.2026</w:t>
            </w:r>
          </w:p>
        </w:tc>
        <w:tc>
          <w:tcPr>
            <w:tcW w:type="dxa" w:w="2268"/>
          </w:tcPr>
          <w:p>
            <w:r>
              <w:rPr>
                <w:rFonts w:ascii="Times New Roman" w:hAnsi="Times New Roman"/>
                <w:sz w:val="20"/>
              </w:rPr>
              <w:t>Steuerkontoauszug fehlt</w:t>
            </w:r>
          </w:p>
        </w:tc>
      </w:tr>
      <w:tr>
        <w:tc>
          <w:tcPr>
            <w:tcW w:type="dxa" w:w="2268"/>
          </w:tcPr>
          <w:p>
            <w:r>
              <w:rPr>
                <w:rFonts w:ascii="Times New Roman" w:hAnsi="Times New Roman"/>
                <w:sz w:val="20"/>
              </w:rPr>
              <w:t>Krankenkasse Weser Nord</w:t>
            </w:r>
          </w:p>
        </w:tc>
        <w:tc>
          <w:tcPr>
            <w:tcW w:type="dxa" w:w="2268"/>
          </w:tcPr>
          <w:p>
            <w:r>
              <w:rPr>
                <w:rFonts w:ascii="Times New Roman" w:hAnsi="Times New Roman"/>
                <w:sz w:val="20"/>
              </w:rPr>
              <w:t>Post + Portal</w:t>
            </w:r>
          </w:p>
        </w:tc>
        <w:tc>
          <w:tcPr>
            <w:tcW w:type="dxa" w:w="2268"/>
          </w:tcPr>
          <w:p>
            <w:r>
              <w:rPr>
                <w:rFonts w:ascii="Times New Roman" w:hAnsi="Times New Roman"/>
                <w:sz w:val="20"/>
              </w:rPr>
              <w:t>Zustimmung unter Vorbehalt korrekter Beitragshöhe</w:t>
            </w:r>
          </w:p>
        </w:tc>
        <w:tc>
          <w:tcPr>
            <w:tcW w:type="dxa" w:w="2268"/>
          </w:tcPr>
          <w:p>
            <w:r>
              <w:rPr>
                <w:rFonts w:ascii="Times New Roman" w:hAnsi="Times New Roman"/>
                <w:sz w:val="20"/>
              </w:rPr>
              <w:t>Beitragsart streitig</w:t>
            </w:r>
          </w:p>
        </w:tc>
      </w:tr>
      <w:tr>
        <w:tc>
          <w:tcPr>
            <w:tcW w:type="dxa" w:w="2268"/>
          </w:tcPr>
          <w:p>
            <w:r>
              <w:rPr>
                <w:rFonts w:ascii="Times New Roman" w:hAnsi="Times New Roman"/>
                <w:sz w:val="20"/>
              </w:rPr>
              <w:t>Geräte Leasing Hanse GmbH</w:t>
            </w:r>
          </w:p>
        </w:tc>
        <w:tc>
          <w:tcPr>
            <w:tcW w:type="dxa" w:w="2268"/>
          </w:tcPr>
          <w:p>
            <w:r>
              <w:rPr>
                <w:rFonts w:ascii="Times New Roman" w:hAnsi="Times New Roman"/>
                <w:sz w:val="20"/>
              </w:rPr>
              <w:t>Post</w:t>
            </w:r>
          </w:p>
        </w:tc>
        <w:tc>
          <w:tcPr>
            <w:tcW w:type="dxa" w:w="2268"/>
          </w:tcPr>
          <w:p>
            <w:r>
              <w:rPr>
                <w:rFonts w:ascii="Times New Roman" w:hAnsi="Times New Roman"/>
                <w:sz w:val="20"/>
              </w:rPr>
              <w:t>verweist auf Inkasso</w:t>
            </w:r>
          </w:p>
        </w:tc>
        <w:tc>
          <w:tcPr>
            <w:tcW w:type="dxa" w:w="2268"/>
          </w:tcPr>
          <w:p>
            <w:r>
              <w:rPr>
                <w:rFonts w:ascii="Times New Roman" w:hAnsi="Times New Roman"/>
                <w:sz w:val="20"/>
              </w:rPr>
              <w:t>Sicherungsabtretung unklar</w:t>
            </w:r>
          </w:p>
        </w:tc>
      </w:tr>
      <w:tr>
        <w:tc>
          <w:tcPr>
            <w:tcW w:type="dxa" w:w="2268"/>
          </w:tcPr>
          <w:p>
            <w:r>
              <w:rPr>
                <w:rFonts w:ascii="Times New Roman" w:hAnsi="Times New Roman"/>
                <w:sz w:val="20"/>
              </w:rPr>
              <w:t>Inkasso Mahnwelt</w:t>
            </w:r>
          </w:p>
        </w:tc>
        <w:tc>
          <w:tcPr>
            <w:tcW w:type="dxa" w:w="2268"/>
          </w:tcPr>
          <w:p>
            <w:r>
              <w:rPr>
                <w:rFonts w:ascii="Times New Roman" w:hAnsi="Times New Roman"/>
                <w:sz w:val="20"/>
              </w:rPr>
              <w:t>Post + E-Mail</w:t>
            </w:r>
          </w:p>
        </w:tc>
        <w:tc>
          <w:tcPr>
            <w:tcW w:type="dxa" w:w="2268"/>
          </w:tcPr>
          <w:p>
            <w:r>
              <w:rPr>
                <w:rFonts w:ascii="Times New Roman" w:hAnsi="Times New Roman"/>
                <w:sz w:val="20"/>
              </w:rPr>
              <w:t>fordert Anerkenntnis und 72 Monatsraten</w:t>
            </w:r>
          </w:p>
        </w:tc>
        <w:tc>
          <w:tcPr>
            <w:tcW w:type="dxa" w:w="2268"/>
          </w:tcPr>
          <w:p>
            <w:r>
              <w:rPr>
                <w:rFonts w:ascii="Times New Roman" w:hAnsi="Times New Roman"/>
                <w:sz w:val="20"/>
              </w:rPr>
              <w:t>Titel- und Zinsprüfung offen</w:t>
            </w:r>
          </w:p>
        </w:tc>
      </w:tr>
      <w:tr>
        <w:tc>
          <w:tcPr>
            <w:tcW w:type="dxa" w:w="2268"/>
          </w:tcPr>
          <w:p>
            <w:r>
              <w:rPr>
                <w:rFonts w:ascii="Times New Roman" w:hAnsi="Times New Roman"/>
                <w:sz w:val="20"/>
              </w:rPr>
              <w:t>Vermieterin Kück</w:t>
            </w:r>
          </w:p>
        </w:tc>
        <w:tc>
          <w:tcPr>
            <w:tcW w:type="dxa" w:w="2268"/>
          </w:tcPr>
          <w:p>
            <w:r>
              <w:rPr>
                <w:rFonts w:ascii="Times New Roman" w:hAnsi="Times New Roman"/>
                <w:sz w:val="20"/>
              </w:rPr>
              <w:t>persönlich übergeben</w:t>
            </w:r>
          </w:p>
        </w:tc>
        <w:tc>
          <w:tcPr>
            <w:tcW w:type="dxa" w:w="2268"/>
          </w:tcPr>
          <w:p>
            <w:r>
              <w:rPr>
                <w:rFonts w:ascii="Times New Roman" w:hAnsi="Times New Roman"/>
                <w:sz w:val="20"/>
              </w:rPr>
              <w:t>Zustimmung, wenn Miete künftig pünktlich</w:t>
            </w:r>
          </w:p>
        </w:tc>
        <w:tc>
          <w:tcPr>
            <w:tcW w:type="dxa" w:w="2268"/>
          </w:tcPr>
          <w:p>
            <w:r>
              <w:rPr>
                <w:rFonts w:ascii="Times New Roman" w:hAnsi="Times New Roman"/>
                <w:sz w:val="20"/>
              </w:rPr>
              <w:t>Mietrückstand fast ausgeglichen</w:t>
            </w:r>
          </w:p>
        </w:tc>
      </w:tr>
      <w:tr>
        <w:tc>
          <w:tcPr>
            <w:tcW w:type="dxa" w:w="2268"/>
          </w:tcPr>
          <w:p>
            <w:r>
              <w:rPr>
                <w:rFonts w:ascii="Times New Roman" w:hAnsi="Times New Roman"/>
                <w:sz w:val="20"/>
              </w:rPr>
              <w:t>Schwester Odilia Reimers</w:t>
            </w:r>
          </w:p>
        </w:tc>
        <w:tc>
          <w:tcPr>
            <w:tcW w:type="dxa" w:w="2268"/>
          </w:tcPr>
          <w:p>
            <w:r>
              <w:rPr>
                <w:rFonts w:ascii="Times New Roman" w:hAnsi="Times New Roman"/>
                <w:sz w:val="20"/>
              </w:rPr>
              <w:t>E-Mail</w:t>
            </w:r>
          </w:p>
        </w:tc>
        <w:tc>
          <w:tcPr>
            <w:tcW w:type="dxa" w:w="2268"/>
          </w:tcPr>
          <w:p>
            <w:r>
              <w:rPr>
                <w:rFonts w:ascii="Times New Roman" w:hAnsi="Times New Roman"/>
                <w:sz w:val="20"/>
              </w:rPr>
              <w:t>Drittmittelzusage bestätigt</w:t>
            </w:r>
          </w:p>
        </w:tc>
        <w:tc>
          <w:tcPr>
            <w:tcW w:type="dxa" w:w="2268"/>
          </w:tcPr>
          <w:p>
            <w:r>
              <w:rPr>
                <w:rFonts w:ascii="Times New Roman" w:hAnsi="Times New Roman"/>
                <w:sz w:val="20"/>
              </w:rPr>
              <w:t>Auszahlung nur bei Gesamtvergleich</w:t>
            </w:r>
          </w:p>
        </w:tc>
      </w:tr>
    </w:tbl>
    <w:p>
      <w:pPr>
        <w:pStyle w:val="Heading2"/>
      </w:pPr>
      <w:r>
        <w:rPr>
          <w:rFonts w:ascii="Times New Roman" w:hAnsi="Times New Roman"/>
        </w:rPr>
        <w:t>Reaktion der Bank</w:t>
      </w:r>
    </w:p>
    <w:p>
      <w:pPr>
        <w:jc w:val="left"/>
      </w:pPr>
      <w:r>
        <w:t>Die Bank schreibt, Herr Reimers habe die wirtschaftliche Lage der GmbH im Jahr 2023 zu spät offengelegt. Deshalb prüfe man eine persönliche Haftung aus Pflichtverletzung. Die Bank legt allerdings kein Urteil, keinen Strafbefehl und keine konkrete Anspruchsgrundlage vor. Sie beruft sich auf die Bürgschaft und auf einen angeblichen Vermögensabfluss kurz vor Abwicklung der GmbH. Herr Reimers erklärt dazu, die Zahlung sei an einen Unterfrachtführer für eine Bühnenlogistik gegangen und in der Buchhaltung erfasst worden.</w:t>
      </w:r>
    </w:p>
    <w:p>
      <w:pPr>
        <w:jc w:val="left"/>
      </w:pPr>
      <w:r>
        <w:t>Die Schuldnerberatung empfiehlt, die Bank nicht mit einem Anerkenntnis zu bedienen. Stattdessen soll die Bank gebeten werden, die Sicherheitenabrechnung und die Bürgschaftsurkunden in Kopie vorzulegen. Eine Plananhebung kommt nur in Betracht, wenn die Schwester die Drittmittelzahlung erhöhen kann oder eine Forderung anderer Gläubiger deutlich niedriger ausfällt.</w:t>
      </w:r>
    </w:p>
    <w:p>
      <w:pPr>
        <w:pStyle w:val="Heading2"/>
      </w:pPr>
      <w:r>
        <w:rPr>
          <w:rFonts w:ascii="Times New Roman" w:hAnsi="Times New Roman"/>
        </w:rPr>
        <w:t>Reaktion der Krankenkasse</w:t>
      </w:r>
    </w:p>
    <w:p>
      <w:pPr>
        <w:jc w:val="left"/>
      </w:pPr>
      <w:r>
        <w:t>Die Krankenkasse teilt mit, dass sie dem Plan zustimmen könne, wenn Herr Reimers künftig laufende Beiträge pünktlich zahlt und die Beitragsrückstände vollständig in die Gläubigerliste aufgenommen werden. Unklar bleibt, ob die Forderung persönlich gegen Herrn Reimers oder gegen die frühere GmbH gerichtet ist. Herr Reimers soll einen aktuellen Beitragskontoauszug und den Haftungsbescheid anfordern.</w:t>
      </w:r>
    </w:p>
    <w:p>
      <w:pPr>
        <w:pStyle w:val="Heading2"/>
      </w:pPr>
      <w:r>
        <w:rPr>
          <w:rFonts w:ascii="Times New Roman" w:hAnsi="Times New Roman"/>
        </w:rPr>
        <w:t>Problem Finanzamt</w:t>
      </w:r>
    </w:p>
    <w:p>
      <w:pPr>
        <w:jc w:val="left"/>
      </w:pPr>
      <w:r>
        <w:t>Das Finanzamt hat nicht reagiert. Telefonisch wurde erklärt, dass man ohne Steuernummer und Vollmacht keine Auskunft erteile. Herr Reimers findet die Umsatzsteuerbescheide 2022 und 2023 nicht vollständig. Es gibt außerdem eine Schätzung, die möglicherweise nach Aufgabe der operativen Tätigkeit ergangen ist. Die Schuldnerberatung vermerkt, dass ein unvollständiges Steuerkonto die spätere Antragstellung gefährden kann, weil eine Forderung vergessen oder falsch qualifiziert werden könnte.</w:t>
      </w:r>
    </w:p>
    <w:p>
      <w:pPr>
        <w:pStyle w:val="Heading2"/>
      </w:pPr>
      <w:r>
        <w:rPr>
          <w:rFonts w:ascii="Times New Roman" w:hAnsi="Times New Roman"/>
        </w:rPr>
        <w:t>Wiedervorlage</w:t>
      </w:r>
    </w:p>
    <w:p>
      <w:pPr>
        <w:pStyle w:val="ListNumber"/>
      </w:pPr>
      <w:r>
        <w:t>Sicherheitenabrechnung Bremer Handelsbank bis 03.07.2026 anfordern.</w:t>
      </w:r>
    </w:p>
    <w:p>
      <w:pPr>
        <w:pStyle w:val="ListNumber"/>
      </w:pPr>
      <w:r>
        <w:t>Steuerkontoauszug Finanzamt bis 05.07.2026 anfordern.</w:t>
      </w:r>
    </w:p>
    <w:p>
      <w:pPr>
        <w:pStyle w:val="ListNumber"/>
      </w:pPr>
      <w:r>
        <w:t>Beitragskonto und Haftungsbescheid Krankenkasse prüfen.</w:t>
      </w:r>
    </w:p>
    <w:p>
      <w:pPr>
        <w:pStyle w:val="ListNumber"/>
      </w:pPr>
      <w:r>
        <w:t>Inkasso Mahnwelt um vollständige Titelkopien und Zinsberechnung bitten.</w:t>
      </w:r>
    </w:p>
    <w:p>
      <w:pPr>
        <w:pStyle w:val="ListNumber"/>
      </w:pPr>
      <w:r>
        <w:t>Planquote nach Eingang der Unterlagen neu berechnen.</w:t>
      </w:r>
    </w:p>
    <w:p>
      <w:pPr>
        <w:pStyle w:val="ListNumber"/>
      </w:pPr>
      <w:r>
        <w:t>Wenn Ablehnung bleibt: gerichtlichen Schuldenbereinigungsplan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