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Sachverhalt und Aktenkern</w:t>
      </w:r>
    </w:p>
    <w:p>
      <w:pPr>
        <w:jc w:val="left"/>
      </w:pPr>
      <w:r>
        <w:t>Verbraucherakte SmartMeter-Abo: Widerruf, digitale Elemente, Preisänderung, Inkasso, Schlichtung und Plattformbeschwerde.</w:t>
      </w:r>
    </w:p>
    <w:p>
      <w:pPr>
        <w:pStyle w:val="Heading2"/>
      </w:pPr>
      <w:r>
        <w:rPr>
          <w:rFonts w:ascii="Times New Roman" w:hAnsi="Times New Roman"/>
        </w:rPr>
        <w:t>Beteiligte</w:t>
      </w:r>
    </w:p>
    <w:p>
      <w:pPr>
        <w:pStyle w:val="ListBullet"/>
      </w:pPr>
      <w:r>
        <w:t>Antragstellerin/Mandantin: Dr. Marlene Auenfeld</w:t>
      </w:r>
    </w:p>
    <w:p>
      <w:pPr>
        <w:pStyle w:val="ListBullet"/>
      </w:pPr>
      <w:r>
        <w:t>Gegenseite/Behörde: je nach Plugin zuständige Fachbehörde oder privater Akteur</w:t>
      </w:r>
    </w:p>
    <w:p>
      <w:pPr>
        <w:pStyle w:val="ListBullet"/>
      </w:pPr>
      <w:r>
        <w:t>Bearbeiter: Referat Recht und Strategie</w:t>
      </w:r>
    </w:p>
    <w:p>
      <w:pPr>
        <w:pStyle w:val="Heading2"/>
      </w:pPr>
      <w:r>
        <w:rPr>
          <w:rFonts w:ascii="Times New Roman" w:hAnsi="Times New Roman"/>
        </w:rPr>
        <w:t>Problemkern</w:t>
      </w:r>
    </w:p>
    <w:p>
      <w:pPr>
        <w:jc w:val="left"/>
      </w:pPr>
      <w:r>
        <w:t>Der Vorgang weist mehrere Ebenen auf: Hauptanspruch, Verfahrensfrage, Kosten- und Fristenproblem, Beweisproblem sowie Kommunikationsrisiko. Die Unterlagen enthalten bewusst offene Punkte und Widersprüche; eine abschließende rechtliche Einordnung ist nicht vorweggenommen.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ListNumber"/>
      </w:pPr>
      <w:r>
        <w:t>Rechtsgrundlage live prüfen.</w:t>
      </w:r>
    </w:p>
    <w:p>
      <w:pPr>
        <w:pStyle w:val="ListNumber"/>
      </w:pPr>
      <w:r>
        <w:t>Zuständigkeit und Rechtsweg festlegen.</w:t>
      </w:r>
    </w:p>
    <w:p>
      <w:pPr>
        <w:pStyle w:val="ListNumber"/>
      </w:pPr>
      <w:r>
        <w:t>Fristen und Gebühren/Kosten in den Tracker übernehmen.</w:t>
      </w:r>
    </w:p>
    <w:p>
      <w:pPr>
        <w:pStyle w:val="ListNumber"/>
      </w:pPr>
      <w:r>
        <w:t>Nächsten Schriftsatz oder Antrag erzeugen.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