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Abo-Falle, Influencer-Werbung, Kündigungsbutton, streitige Einwilligungen und massenhafte Kleinbeträge. Für eine sachgerechte Prüfung benötigen wir keine pauschale Bewertung, sondern eine nachvollziehbare Zuordnung zu UKlaG, VDuG, UWG, BGB-AGB-Recht, PAngV, DSA, Verbandsklage, Abhilfeklage und Musterfeststellung.</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