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Prüfungsschema Art. 8 GG — Versammlungsfreiheit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 / Prof. Dr. Birkenhain (UdS)</w:t>
      </w:r>
    </w:p>
    <w:p>
      <w:pPr>
        <w:jc w:val="left"/>
      </w:pPr>
      <w:r>
        <w:rPr>
          <w:b/>
        </w:rPr>
        <w:t>Stand:</w:t>
      </w:r>
      <w:r>
        <w:t xml:space="preserve"> 15.03.2026</w:t>
      </w:r>
    </w:p>
    <w:p/>
    <w:p>
      <w:pPr>
        <w:pStyle w:val="Heading2"/>
      </w:pPr>
      <w:r>
        <w:rPr>
          <w:rFonts w:ascii="Times New Roman" w:hAnsi="Times New Roman"/>
        </w:rPr>
        <w:t>Prüfungsschema: Art. 8 GG</w:t>
      </w:r>
    </w:p>
    <w:p/>
    <w:p>
      <w:pPr>
        <w:pStyle w:val="Heading2"/>
      </w:pPr>
      <w:r>
        <w:rPr>
          <w:rFonts w:ascii="Times New Roman" w:hAnsi="Times New Roman"/>
        </w:rPr>
        <w:t>A. Schutzbereich</w:t>
      </w:r>
    </w:p>
    <w:p>
      <w:pPr>
        <w:pStyle w:val="Heading3"/>
      </w:pPr>
      <w:r>
        <w:rPr>
          <w:rFonts w:ascii="Times New Roman" w:hAnsi="Times New Roman"/>
        </w:rPr>
        <w:t>I. Sachlicher Schutzbereich</w:t>
      </w:r>
    </w:p>
    <w:p>
      <w:pPr>
        <w:jc w:val="left"/>
      </w:pPr>
      <w:r>
        <w:rPr>
          <w:b/>
        </w:rPr>
        <w:t>1. Versammlungsbegriff</w:t>
      </w:r>
    </w:p>
    <w:p>
      <w:pPr>
        <w:jc w:val="left"/>
      </w:pPr>
      <w:r>
        <w:t>Eine Versammlung i.S.v. Art. 8 I GG ist eine Vereinigung mehrerer Personen zur gemeinschaftlichen, auf die Teilhabe an der öffentlichen Meinungsbildung gerichteten Eroetrterung oder Kundgebung.</w:t>
      </w:r>
    </w:p>
    <w:p>
      <w:pPr>
        <w:jc w:val="left"/>
      </w:pPr>
      <w:r>
        <w:t>Merkmale:</w:t>
      </w:r>
    </w:p>
    <w:p>
      <w:pPr>
        <w:pStyle w:val="ListBullet"/>
      </w:pPr>
      <w:r>
        <w:rPr>
          <w:b/>
        </w:rPr>
        <w:t>Personenmehrheit</w:t>
      </w:r>
      <w:r>
        <w:t xml:space="preserve"> (mindestens 2 Personen; herrschende Meinung: 3 Personen)</w:t>
      </w:r>
    </w:p>
    <w:p>
      <w:pPr>
        <w:pStyle w:val="ListBullet"/>
      </w:pPr>
      <w:r>
        <w:rPr>
          <w:b/>
        </w:rPr>
        <w:t>Gemeinschaftlichkeit</w:t>
      </w:r>
      <w:r>
        <w:t xml:space="preserve"> des Handelns (keine zufallige Menschenansammlung)</w:t>
      </w:r>
    </w:p>
    <w:p>
      <w:pPr>
        <w:pStyle w:val="ListBullet"/>
      </w:pPr>
      <w:r>
        <w:rPr>
          <w:b/>
        </w:rPr>
        <w:t>Auf Kommunikation gerichtet</w:t>
      </w:r>
      <w:r>
        <w:t xml:space="preserve"> (gemeinsame Meinungsbildung oder -kundgabe)</w:t>
      </w:r>
    </w:p>
    <w:p>
      <w:pPr>
        <w:pStyle w:val="ListBullet"/>
      </w:pPr>
      <w:r>
        <w:rPr>
          <w:b/>
        </w:rPr>
        <w:t>Oeffentlichkeitsbezug</w:t>
      </w:r>
      <w:r>
        <w:t xml:space="preserve"> (nicht Versammlungen im privaten Rahmen, die unter Art. 2 I GG fallen)</w:t>
      </w:r>
    </w:p>
    <w:p>
      <w:pPr>
        <w:jc w:val="left"/>
      </w:pPr>
      <w:r>
        <w:t>Abgrenzung:</w:t>
      </w:r>
    </w:p>
    <w:p>
      <w:pPr>
        <w:pStyle w:val="ListBullet"/>
      </w:pPr>
      <w:r>
        <w:t>Blosse Aufläufe ohne gemeinsames kommunikatives Ziel: kein Art. 8 GG</w:t>
      </w:r>
    </w:p>
    <w:p>
      <w:pPr>
        <w:pStyle w:val="ListBullet"/>
      </w:pPr>
      <w:r>
        <w:t>Sportereignisse, Konzerte als Freizeitveranstaltungen: kein Art. 8 GG (BVerfGE 69, 315 [343])</w:t>
      </w:r>
    </w:p>
    <w:p>
      <w:pPr>
        <w:pStyle w:val="ListBullet"/>
      </w:pPr>
      <w:r>
        <w:t>Demonstrationen, Kundgebungen, Mahnwachen: Art. 8 GG (+)</w:t>
      </w:r>
    </w:p>
    <w:p>
      <w:pPr>
        <w:pStyle w:val="ListBullet"/>
      </w:pPr>
      <w:r>
        <w:t>Sitzblockaden: Art. 8 GG (+) soweit Kommunikationszweck im Vordergrund (BVerfGE 73, 206; 87, 399; 92, 1)</w:t>
      </w:r>
    </w:p>
    <w:p>
      <w:pPr>
        <w:pStyle w:val="ListBullet"/>
      </w:pPr>
      <w:r>
        <w:t>Dauerprotestcamps: Art. 8 GG (+) wenn gemeinsames politisches Ziel, Meinungskundgabe kontinuierlich (BVerfGE 69, 315 [344 ff.])</w:t>
      </w:r>
    </w:p>
    <w:p>
      <w:pPr>
        <w:jc w:val="left"/>
      </w:pPr>
      <w:r>
        <w:rPr>
          <w:b/>
        </w:rPr>
        <w:t>Fallprüfung Klimacamp Saarbruecken:</w:t>
      </w:r>
    </w:p>
    <w:p>
      <w:pPr>
        <w:jc w:val="left"/>
      </w:pPr>
      <w:r>
        <w:t>(+) Personenmehrheit: 15 BF + weitere Mitglieder; Schichtbetrieb ergibt Gesamtidentität</w:t>
      </w:r>
    </w:p>
    <w:p>
      <w:pPr>
        <w:jc w:val="left"/>
      </w:pPr>
      <w:r>
        <w:t>(+) Gemeinschaftlichkeit: Gemeinsames Ziel Klimagerechtigkeit/Energiepolitik Saarland</w:t>
      </w:r>
    </w:p>
    <w:p>
      <w:pPr>
        <w:jc w:val="left"/>
      </w:pPr>
      <w:r>
        <w:t>(+) Kommunikation: Öffentlicher Protest, Reden, Infomaterial, Medienpräsenz</w:t>
      </w:r>
    </w:p>
    <w:p>
      <w:pPr>
        <w:jc w:val="left"/>
      </w:pPr>
      <w:r>
        <w:t>(+) Oeffentlichkeitsbezug: Vorplatz Saarländischer Landtag; maximale politische Öffentlichkeit</w:t>
      </w:r>
    </w:p>
    <w:p>
      <w:pPr>
        <w:jc w:val="left"/>
      </w:pPr>
      <w:r>
        <w:rPr>
          <w:b/>
        </w:rPr>
        <w:t>Ergebnis:</w:t>
      </w:r>
      <w:r>
        <w:t xml:space="preserve"> Schutzbereich sachlich eroffnet.</w:t>
      </w:r>
    </w:p>
    <w:p>
      <w:pPr>
        <w:jc w:val="left"/>
      </w:pPr>
      <w:r>
        <w:rPr>
          <w:b/>
        </w:rPr>
        <w:t>2. Friedlichkeit</w:t>
      </w:r>
    </w:p>
    <w:p>
      <w:pPr>
        <w:jc w:val="left"/>
      </w:pPr>
      <w:r>
        <w:t>Art. 8 I GG schützt nur friedliche, d.h. nicht zu Gewalttaten bereite Versammlungen.</w:t>
      </w:r>
    </w:p>
    <w:p>
      <w:pPr>
        <w:pStyle w:val="ListBullet"/>
      </w:pPr>
      <w:r>
        <w:t>Keine Waffen (Art. 8 I GG: „ohne Waffen")</w:t>
      </w:r>
    </w:p>
    <w:p>
      <w:pPr>
        <w:pStyle w:val="ListBullet"/>
      </w:pPr>
      <w:r>
        <w:t>Keine Gewalt gegen Personen oder Sachen</w:t>
      </w:r>
    </w:p>
    <w:p>
      <w:pPr>
        <w:pStyle w:val="ListBullet"/>
      </w:pPr>
      <w:r>
        <w:t>Einzel-Unfriedlichkeit einzelner Teilnehmer schliesst Schutz der übrigen nicht aus (BVerfGE 69, 315 [361])</w:t>
      </w:r>
    </w:p>
    <w:p>
      <w:pPr>
        <w:jc w:val="left"/>
      </w:pPr>
      <w:r>
        <w:rPr>
          <w:b/>
        </w:rPr>
        <w:t>Fallprüfung:</w:t>
      </w:r>
    </w:p>
    <w:p>
      <w:pPr>
        <w:jc w:val="left"/>
      </w:pPr>
      <w:r>
        <w:t>(+) Das Camp ist als friedliche Veranstaltung geplant.</w:t>
      </w:r>
    </w:p>
    <w:p>
      <w:pPr>
        <w:jc w:val="left"/>
      </w:pPr>
      <w:r>
        <w:t>(?) Das Ermittlungsverfahren StA 188 Js 4711/26 betrifft einen separaten Versuch am 15.03.2026 — dieser ist nicht Teil des angemeldeten Camps.</w:t>
      </w:r>
    </w:p>
    <w:p>
      <w:pPr>
        <w:jc w:val="left"/>
      </w:pPr>
      <w:r>
        <w:rPr>
          <w:b/>
        </w:rPr>
        <w:t>Ergebnis:</w:t>
      </w:r>
      <w:r>
        <w:t xml:space="preserve"> Friedlichkeit (+).</w:t>
      </w:r>
    </w:p>
    <w:p>
      <w:pPr>
        <w:pStyle w:val="Heading3"/>
      </w:pPr>
      <w:r>
        <w:rPr>
          <w:rFonts w:ascii="Times New Roman" w:hAnsi="Times New Roman"/>
        </w:rPr>
        <w:t>II. Persönlicher Schutzbereich</w:t>
      </w:r>
    </w:p>
    <w:p>
      <w:pPr>
        <w:pStyle w:val="ListBullet"/>
      </w:pPr>
      <w:r>
        <w:t>Natürliche Personen: (+) (alle BF 2-15)</w:t>
      </w:r>
    </w:p>
    <w:p>
      <w:pPr>
        <w:pStyle w:val="ListBullet"/>
      </w:pPr>
      <w:r>
        <w:t>Juristische Personen (inländische): (+) gemäß Art. 19 III GG, wenn Grundrecht seinem Wesen nach auf sie anwendbar ist. Die Versammlungsfreiheit kann korporativ wahrgenommen werden (BVerfGE 69, 315 [349]).</w:t>
      </w:r>
    </w:p>
    <w:p>
      <w:pPr>
        <w:pStyle w:val="ListBullet"/>
      </w:pPr>
      <w:r>
        <w:rPr>
          <w:b/>
        </w:rPr>
        <w:t>Fallprüfung:</w:t>
      </w:r>
      <w:r>
        <w:t xml:space="preserve"> BF 1 (e.V.): (+).</w:t>
      </w:r>
    </w:p>
    <w:p/>
    <w:p>
      <w:pPr>
        <w:pStyle w:val="Heading2"/>
      </w:pPr>
      <w:r>
        <w:rPr>
          <w:rFonts w:ascii="Times New Roman" w:hAnsi="Times New Roman"/>
        </w:rPr>
        <w:t>B. Eingriff</w:t>
      </w:r>
    </w:p>
    <w:p>
      <w:pPr>
        <w:jc w:val="left"/>
      </w:pPr>
      <w:r>
        <w:t>Die Verbotsverfügung des Stadtrechtsamts vom 12.03.2026 untersagt das Camp vollständig. Dies ist ein unmittelbarer, vollständiger Eingriff in Art. 8 I GG.</w:t>
      </w:r>
    </w:p>
    <w:p>
      <w:pPr>
        <w:jc w:val="left"/>
      </w:pPr>
      <w:r>
        <w:t>Auch die bestatigenden Gerichtsbeschlüsse (VG, OVG) verlängern den Eingriff.</w:t>
      </w:r>
    </w:p>
    <w:p/>
    <w:p>
      <w:pPr>
        <w:pStyle w:val="Heading2"/>
      </w:pPr>
      <w:r>
        <w:rPr>
          <w:rFonts w:ascii="Times New Roman" w:hAnsi="Times New Roman"/>
        </w:rPr>
        <w:t>C. Verfassungsrechtliche Rechtfertigung</w:t>
      </w:r>
    </w:p>
    <w:p>
      <w:pPr>
        <w:pStyle w:val="Heading3"/>
      </w:pPr>
      <w:r>
        <w:rPr>
          <w:rFonts w:ascii="Times New Roman" w:hAnsi="Times New Roman"/>
        </w:rPr>
        <w:t>I. Schranke</w:t>
      </w:r>
    </w:p>
    <w:p>
      <w:pPr>
        <w:jc w:val="left"/>
      </w:pPr>
      <w:r>
        <w:t>Art. 8 II GG: „Für Versammlungen unter freiem Himmel kann dieses Recht durch Gesetz oder auf Grund eines Gesetzes beschränkt werden."</w:t>
      </w:r>
    </w:p>
    <w:p>
      <w:pPr>
        <w:jc w:val="left"/>
      </w:pPr>
      <w:r>
        <w:t>Einschlägige Normen:</w:t>
      </w:r>
    </w:p>
    <w:p>
      <w:pPr>
        <w:pStyle w:val="ListBullet"/>
      </w:pPr>
      <w:r>
        <w:t>§ 15 SaarlVersG: Allgemeine Befugnis zum Verbot bei Gefahr für öffentliche Sicherheit</w:t>
      </w:r>
    </w:p>
    <w:p>
      <w:pPr>
        <w:pStyle w:val="ListBullet"/>
      </w:pPr>
      <w:r>
        <w:t>§ 16 SaarlVersG: Bannmeilenregelung Landtag</w:t>
      </w:r>
    </w:p>
    <w:p>
      <w:pPr>
        <w:pStyle w:val="Heading3"/>
      </w:pPr>
      <w:r>
        <w:rPr>
          <w:rFonts w:ascii="Times New Roman" w:hAnsi="Times New Roman"/>
        </w:rPr>
        <w:t>II. Schranken-Schranken</w:t>
      </w:r>
    </w:p>
    <w:p>
      <w:pPr>
        <w:jc w:val="left"/>
      </w:pPr>
      <w:r>
        <w:rPr>
          <w:b/>
        </w:rPr>
        <w:t>1. Formelle Verfassungsmaessigkeit der Ermächtigung</w:t>
      </w:r>
    </w:p>
    <w:p>
      <w:pPr>
        <w:jc w:val="left"/>
      </w:pPr>
      <w:r>
        <w:t>§ 15 SaarlVersG und § 16 SaarlVersG sind formell verfassungsmaessig erlassen worden.</w:t>
      </w:r>
    </w:p>
    <w:p>
      <w:pPr>
        <w:jc w:val="left"/>
      </w:pPr>
      <w:r>
        <w:rPr>
          <w:b/>
        </w:rPr>
        <w:t>2. Bestimmtheitsgrundsatz</w:t>
      </w:r>
    </w:p>
    <w:p>
      <w:pPr>
        <w:jc w:val="left"/>
      </w:pPr>
      <w:r>
        <w:t>§ 16 SaarlVersG muss hinreichend bestimmt sein. Der Begriff „Beeinträchtigung der Tätigkeit des Landtags" ist auslegungsbedueruftig. Er muss verfassungskonform eng ausgelegt werden: Nur konkrete, nachgewiesene Beeinträchtigung genügt — abstrakte Gefahr reicht nicht (BVerfGE 104, 92 [111 f.]).</w:t>
      </w:r>
    </w:p>
    <w:p>
      <w:pPr>
        <w:jc w:val="left"/>
      </w:pPr>
      <w:r>
        <w:rPr>
          <w:b/>
        </w:rPr>
        <w:t>Fallprüfung:</w:t>
      </w:r>
      <w:r>
        <w:t xml:space="preserve"> Die Verbotsverfügung stützt sich auf abstrakte Gefahr ohne konkrete Nachweise — verfassungsrechtlich problematisch.</w:t>
      </w:r>
    </w:p>
    <w:p>
      <w:pPr>
        <w:jc w:val="left"/>
      </w:pPr>
      <w:r>
        <w:rPr>
          <w:b/>
        </w:rPr>
        <w:t>3. Verhaeltnismaessigkeit</w:t>
      </w:r>
    </w:p>
    <w:p>
      <w:pPr>
        <w:jc w:val="left"/>
      </w:pPr>
      <w:r>
        <w:rPr>
          <w:i/>
        </w:rPr>
        <w:t>a) Legitimer Zweck</w:t>
      </w:r>
    </w:p>
    <w:p>
      <w:pPr>
        <w:jc w:val="left"/>
      </w:pPr>
      <w:r>
        <w:t>Schutz der Funktionsfähigkeit des Parlaments. Legitim (+).</w:t>
      </w:r>
    </w:p>
    <w:p>
      <w:pPr>
        <w:jc w:val="left"/>
      </w:pPr>
      <w:r>
        <w:rPr>
          <w:i/>
        </w:rPr>
        <w:t>b) Geeignetheit</w:t>
      </w:r>
    </w:p>
    <w:p>
      <w:pPr>
        <w:jc w:val="left"/>
      </w:pPr>
      <w:r>
        <w:t>Ein Totalverbot verhindert jede Campaktivitaet und damit jede mögliche Beeinträchtigung. Geeignet (+).</w:t>
      </w:r>
    </w:p>
    <w:p>
      <w:pPr>
        <w:jc w:val="left"/>
      </w:pPr>
      <w:r>
        <w:rPr>
          <w:i/>
        </w:rPr>
        <w:t>c) Erforderlichkeit</w:t>
      </w:r>
    </w:p>
    <w:p>
      <w:pPr>
        <w:jc w:val="left"/>
      </w:pPr>
      <w:r>
        <w:t>Mildere, gleich geeignete Mittel:</w:t>
      </w:r>
    </w:p>
    <w:p>
      <w:pPr>
        <w:pStyle w:val="ListBullet"/>
      </w:pPr>
      <w:r>
        <w:t>(1) Räumliche Beschränkung auf seitlichen Bereich des Vorplatzes</w:t>
      </w:r>
    </w:p>
    <w:p>
      <w:pPr>
        <w:pStyle w:val="ListBullet"/>
      </w:pPr>
      <w:r>
        <w:t>(2) Zeitliche Beschränkung der Lautsprechernutzung (nur ausserhalb Plenarsitzungen)</w:t>
      </w:r>
    </w:p>
    <w:p>
      <w:pPr>
        <w:pStyle w:val="ListBullet"/>
      </w:pPr>
      <w:r>
        <w:t>(3) Groessenauflage (max. 4 Zelte, max. 20 Dauerteilnehmer gleichzeitig)</w:t>
      </w:r>
    </w:p>
    <w:p>
      <w:pPr>
        <w:pStyle w:val="ListBullet"/>
      </w:pPr>
      <w:r>
        <w:t>(4) Verbot von Beschallung ab 22:00 Uhr</w:t>
      </w:r>
    </w:p>
    <w:p>
      <w:pPr>
        <w:jc w:val="left"/>
      </w:pPr>
      <w:r>
        <w:t xml:space="preserve">Diese Mittel wurden nicht geprüft. </w:t>
      </w:r>
      <w:r>
        <w:rPr>
          <w:b/>
        </w:rPr>
        <w:t>Erforderlichkeit des Totalverbots: (-)</w:t>
      </w:r>
    </w:p>
    <w:p>
      <w:pPr>
        <w:jc w:val="left"/>
      </w:pPr>
      <w:r>
        <w:rPr>
          <w:i/>
        </w:rPr>
        <w:t>d) Angemessenheit (Verhaeltnismaessigkeit i.e.S.)</w:t>
      </w:r>
    </w:p>
    <w:p>
      <w:pPr>
        <w:jc w:val="left"/>
      </w:pPr>
      <w:r>
        <w:t>Abwägung:</w:t>
      </w:r>
    </w:p>
    <w:p>
      <w:pPr>
        <w:pStyle w:val="ListBullet"/>
      </w:pPr>
      <w:r>
        <w:t>Auf Seiten des Eingriffs: Volle Versammlungsfreiheit aller 15 BF und der gesamten Initiative; politischer Moment (aktuelle Gesetzgebung); demokratisches Korrektiv; Art. 8 GG als „unverzichtbares Funktionselement des demokratischen Gemeinwesens" (BVerfGE 69, 315 [346 f.])</w:t>
      </w:r>
    </w:p>
    <w:p>
      <w:pPr>
        <w:pStyle w:val="ListBullet"/>
      </w:pPr>
      <w:r>
        <w:t>Auf Seiten des Schutzzwecks: Abstrakte Beeinträchtigung des Parlamentsbetriebs, die auch durch mildere Mittel abwendbar wäre</w:t>
      </w:r>
    </w:p>
    <w:p>
      <w:pPr>
        <w:jc w:val="left"/>
      </w:pPr>
      <w:r>
        <w:rPr>
          <w:b/>
        </w:rPr>
        <w:t>Angemessenheit: (-)</w:t>
      </w:r>
    </w:p>
    <w:p>
      <w:pPr>
        <w:jc w:val="left"/>
      </w:pPr>
      <w:r>
        <w:rPr>
          <w:b/>
        </w:rPr>
        <w:t>4. Wesensgehalt (Art. 19 II GG)</w:t>
      </w:r>
    </w:p>
    <w:p>
      <w:pPr>
        <w:jc w:val="left"/>
      </w:pPr>
      <w:r>
        <w:t>Ein Totalverbot jeglicher Dauerprotestformen in der Nähe von Parlamenten würde den Wesensgehalt der Versammlungsfreiheit tangieren.</w:t>
      </w:r>
    </w:p>
    <w:p/>
    <w:p>
      <w:pPr>
        <w:pStyle w:val="Heading2"/>
      </w:pPr>
      <w:r>
        <w:rPr>
          <w:rFonts w:ascii="Times New Roman" w:hAnsi="Times New Roman"/>
        </w:rPr>
        <w:t>D. Ergebnis</w:t>
      </w:r>
    </w:p>
    <w:p>
      <w:pPr>
        <w:jc w:val="left"/>
      </w:pPr>
      <w:r>
        <w:t>Das Totalverbot des Klimacamps verletzt Art. 8 I GG. Die Verbotsverfügung ist verfassungswidrig.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BVerfGE 69, 315 (Bruesen, 14.10.1985): bundesverfassungsgericht.de</w:t>
      </w:r>
    </w:p>
    <w:p>
      <w:pPr>
        <w:pStyle w:val="ListBullet"/>
      </w:pPr>
      <w:r>
        <w:t>BVerfGE 87, 399 (Sitzblockade I, 10.01.1995): dejure.org</w:t>
      </w:r>
    </w:p>
    <w:p>
      <w:pPr>
        <w:pStyle w:val="ListBullet"/>
      </w:pPr>
      <w:r>
        <w:t>BVerfGE 92, 1 (Sitzblockade II, 10.01.1995): dejure.org</w:t>
      </w:r>
    </w:p>
    <w:p>
      <w:pPr>
        <w:pStyle w:val="ListBullet"/>
      </w:pPr>
      <w:r>
        <w:t>BVerfGE 104, 92 (Bannmeile, 22.01.2002): bundesverfassungsgericht.de</w:t>
      </w:r>
    </w:p>
    <w:p>
      <w:pPr>
        <w:pStyle w:val="ListBullet"/>
      </w:pPr>
      <w:r>
        <w:t>BVerfG, 1 BvR 388/05 (Heiligendamm, 06.06.2007): 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