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Pruefung Subsidiarität § 90 II BVerfGG</w:t>
      </w:r>
    </w:p>
    <w:p>
      <w:pPr>
        <w:jc w:val="left"/>
      </w:pPr>
      <w:r>
        <w:rPr>
          <w:b/>
        </w:rPr>
        <w:t>Bearbeiter:</w:t>
      </w:r>
      <w:r>
        <w:t xml:space="preserve"> RA Dr. Roosendaal-Eichmueller</w:t>
      </w:r>
    </w:p>
    <w:p>
      <w:pPr>
        <w:jc w:val="left"/>
      </w:pPr>
      <w:r>
        <w:rPr>
          <w:b/>
        </w:rPr>
        <w:t>Stand:</w:t>
      </w:r>
      <w:r>
        <w:t xml:space="preserve"> 16.03.2026</w:t>
      </w:r>
    </w:p>
    <w:p/>
    <w:p>
      <w:pPr>
        <w:pStyle w:val="Heading2"/>
      </w:pPr>
      <w:r>
        <w:rPr>
          <w:rFonts w:ascii="Times New Roman" w:hAnsi="Times New Roman"/>
        </w:rPr>
        <w:t>I. Grundsatz</w:t>
      </w:r>
    </w:p>
    <w:p>
      <w:pPr>
        <w:jc w:val="left"/>
      </w:pPr>
      <w:r>
        <w:t>Gemäß § 90 II 1 BVerfGG ist die Verfassungsbeschwerde grundsätzlich erst dann zulassig, wenn der Beschwerdeführer den Rechtsweg erschöpft hat. Der Grundsatz der Subsidiarität verlangt, dass alle von der Rechtsordnung bereitgestellten Möglichkeiten ergriffen werden, bevor das BVerfG angerufen wird.</w:t>
      </w:r>
    </w:p>
    <w:p>
      <w:pPr>
        <w:jc w:val="left"/>
      </w:pPr>
      <w:r>
        <w:t>Dies dient dem Zweck, dass die Fachgerichte Gelegenheit erhalten, die angegriffenen Massnahmen zu uberpruefen und möglicherweise den Verfassungsverstoss zu beseitigen (BVerfGE 68, 376 [380]; 77, 381 [401]).</w:t>
      </w:r>
    </w:p>
    <w:p/>
    <w:p>
      <w:pPr>
        <w:pStyle w:val="Heading2"/>
      </w:pPr>
      <w:r>
        <w:rPr>
          <w:rFonts w:ascii="Times New Roman" w:hAnsi="Times New Roman"/>
        </w:rPr>
        <w:t>II. Erschöpfung des Rechtswegs im vorliegenden Fall</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Instanz</w:t>
            </w:r>
          </w:p>
        </w:tc>
        <w:tc>
          <w:tcPr>
            <w:tcW w:type="dxa" w:w="2268"/>
          </w:tcPr>
          <w:p>
            <w:r>
              <w:rPr>
                <w:rFonts w:ascii="Times New Roman" w:hAnsi="Times New Roman"/>
                <w:b/>
                <w:sz w:val="20"/>
              </w:rPr>
              <w:t>Verfahren</w:t>
            </w:r>
          </w:p>
        </w:tc>
        <w:tc>
          <w:tcPr>
            <w:tcW w:type="dxa" w:w="2268"/>
          </w:tcPr>
          <w:p>
            <w:r>
              <w:rPr>
                <w:rFonts w:ascii="Times New Roman" w:hAnsi="Times New Roman"/>
                <w:b/>
                <w:sz w:val="20"/>
              </w:rPr>
              <w:t>Entscheidung</w:t>
            </w:r>
          </w:p>
        </w:tc>
        <w:tc>
          <w:tcPr>
            <w:tcW w:type="dxa" w:w="2268"/>
          </w:tcPr>
          <w:p>
            <w:r>
              <w:rPr>
                <w:rFonts w:ascii="Times New Roman" w:hAnsi="Times New Roman"/>
                <w:b/>
                <w:sz w:val="20"/>
              </w:rPr>
              <w:t>Datum</w:t>
            </w:r>
          </w:p>
        </w:tc>
      </w:tr>
      <w:tr>
        <w:tc>
          <w:tcPr>
            <w:tcW w:type="dxa" w:w="2268"/>
          </w:tcPr>
          <w:p>
            <w:r>
              <w:rPr>
                <w:rFonts w:ascii="Times New Roman" w:hAnsi="Times New Roman"/>
                <w:sz w:val="20"/>
              </w:rPr>
              <w:t>VG Saarlouis</w:t>
            </w:r>
          </w:p>
        </w:tc>
        <w:tc>
          <w:tcPr>
            <w:tcW w:type="dxa" w:w="2268"/>
          </w:tcPr>
          <w:p>
            <w:r>
              <w:rPr>
                <w:rFonts w:ascii="Times New Roman" w:hAnsi="Times New Roman"/>
                <w:sz w:val="20"/>
              </w:rPr>
              <w:t>§ 80 V VwGO (Eilantrag)</w:t>
            </w:r>
          </w:p>
        </w:tc>
        <w:tc>
          <w:tcPr>
            <w:tcW w:type="dxa" w:w="2268"/>
          </w:tcPr>
          <w:p>
            <w:r>
              <w:rPr>
                <w:rFonts w:ascii="Times New Roman" w:hAnsi="Times New Roman"/>
                <w:sz w:val="20"/>
              </w:rPr>
              <w:t>Abgelehnt — 2 K 188/26</w:t>
            </w:r>
          </w:p>
        </w:tc>
        <w:tc>
          <w:tcPr>
            <w:tcW w:type="dxa" w:w="2268"/>
          </w:tcPr>
          <w:p>
            <w:r>
              <w:rPr>
                <w:rFonts w:ascii="Times New Roman" w:hAnsi="Times New Roman"/>
                <w:sz w:val="20"/>
              </w:rPr>
              <w:t>14.03.2026</w:t>
            </w:r>
          </w:p>
        </w:tc>
      </w:tr>
      <w:tr>
        <w:tc>
          <w:tcPr>
            <w:tcW w:type="dxa" w:w="2268"/>
          </w:tcPr>
          <w:p>
            <w:r>
              <w:rPr>
                <w:rFonts w:ascii="Times New Roman" w:hAnsi="Times New Roman"/>
                <w:sz w:val="20"/>
              </w:rPr>
              <w:t>OVG Saarland</w:t>
            </w:r>
          </w:p>
        </w:tc>
        <w:tc>
          <w:tcPr>
            <w:tcW w:type="dxa" w:w="2268"/>
          </w:tcPr>
          <w:p>
            <w:r>
              <w:rPr>
                <w:rFonts w:ascii="Times New Roman" w:hAnsi="Times New Roman"/>
                <w:sz w:val="20"/>
              </w:rPr>
              <w:t>§ 146 VwGO (Beschwerde)</w:t>
            </w:r>
          </w:p>
        </w:tc>
        <w:tc>
          <w:tcPr>
            <w:tcW w:type="dxa" w:w="2268"/>
          </w:tcPr>
          <w:p>
            <w:r>
              <w:rPr>
                <w:rFonts w:ascii="Times New Roman" w:hAnsi="Times New Roman"/>
                <w:sz w:val="20"/>
              </w:rPr>
              <w:t>Abgelehnt — 1 B 14/26</w:t>
            </w:r>
          </w:p>
        </w:tc>
        <w:tc>
          <w:tcPr>
            <w:tcW w:type="dxa" w:w="2268"/>
          </w:tcPr>
          <w:p>
            <w:r>
              <w:rPr>
                <w:rFonts w:ascii="Times New Roman" w:hAnsi="Times New Roman"/>
                <w:sz w:val="20"/>
              </w:rPr>
              <w:t>15.03.2026</w:t>
            </w:r>
          </w:p>
        </w:tc>
      </w:tr>
      <w:tr>
        <w:tc>
          <w:tcPr>
            <w:tcW w:type="dxa" w:w="2268"/>
          </w:tcPr>
          <w:p>
            <w:r>
              <w:rPr>
                <w:rFonts w:ascii="Times New Roman" w:hAnsi="Times New Roman"/>
                <w:sz w:val="20"/>
              </w:rPr>
              <w:t>BVerwG</w:t>
            </w:r>
          </w:p>
        </w:tc>
        <w:tc>
          <w:tcPr>
            <w:tcW w:type="dxa" w:w="2268"/>
          </w:tcPr>
          <w:p>
            <w:r>
              <w:rPr>
                <w:rFonts w:ascii="Times New Roman" w:hAnsi="Times New Roman"/>
                <w:sz w:val="20"/>
              </w:rPr>
              <w:t>Revision / Nichtzulassungsbeschwerde</w:t>
            </w:r>
          </w:p>
        </w:tc>
        <w:tc>
          <w:tcPr>
            <w:tcW w:type="dxa" w:w="2268"/>
          </w:tcPr>
          <w:p>
            <w:r>
              <w:rPr>
                <w:rFonts w:ascii="Times New Roman" w:hAnsi="Times New Roman"/>
                <w:sz w:val="20"/>
              </w:rPr>
              <w:t>Nicht einschlägig für § 80 V-Eilverfahren</w:t>
            </w:r>
          </w:p>
        </w:tc>
        <w:tc>
          <w:tcPr>
            <w:tcW w:type="dxa" w:w="2268"/>
          </w:tcPr>
          <w:p>
            <w:r>
              <w:rPr>
                <w:rFonts w:ascii="Times New Roman" w:hAnsi="Times New Roman"/>
                <w:sz w:val="20"/>
              </w:rPr>
              <w:t>—</w:t>
            </w:r>
          </w:p>
        </w:tc>
      </w:tr>
    </w:tbl>
    <w:p>
      <w:pPr>
        <w:jc w:val="left"/>
      </w:pPr>
      <w:r>
        <w:rPr>
          <w:b/>
        </w:rPr>
        <w:t>Ergebnis:</w:t>
      </w:r>
      <w:r>
        <w:t xml:space="preserve"> Der Rechtsweg ist erschöpft. § 80 V VwGO-Verfahren endet mit dem OVG; eine Revision zum BVerwG ist im Eilrechtsschutzverfahren nicht vorgesehen (§ 152 II VwGO: kein weiteres Rechtsmittel gegen Beschwerde-Entscheidungen im einstweiligen Rechtsschutz). Der Rechtsweg ist damit erschöpft i.S.v. § 90 II 1 BVerfGG.</w:t>
      </w:r>
    </w:p>
    <w:p/>
    <w:p>
      <w:pPr>
        <w:pStyle w:val="Heading2"/>
      </w:pPr>
      <w:r>
        <w:rPr>
          <w:rFonts w:ascii="Times New Roman" w:hAnsi="Times New Roman"/>
        </w:rPr>
        <w:t>III. Keine Hauptsacheklage erforderlich</w:t>
      </w:r>
    </w:p>
    <w:p>
      <w:pPr>
        <w:jc w:val="left"/>
      </w:pPr>
      <w:r>
        <w:rPr>
          <w:b/>
        </w:rPr>
        <w:t>Frage:</w:t>
      </w:r>
      <w:r>
        <w:t xml:space="preserve"> Hätten die BF zusätzlich Hauptsacheklage (§ 42 I VwGO — Anfechtungsklage) erheben müssen?</w:t>
      </w:r>
    </w:p>
    <w:p>
      <w:pPr>
        <w:jc w:val="left"/>
      </w:pPr>
      <w:r>
        <w:rPr>
          <w:b/>
        </w:rPr>
        <w:t>Antwort:</w:t>
      </w:r>
      <w:r>
        <w:t xml:space="preserve"> Nein. Das BVerfG verlangt im Kontext von Versammlungsverboten keinen zuvor abgeschlossenen Hauptsacheprozess, wenn:</w:t>
      </w:r>
    </w:p>
    <w:p>
      <w:pPr>
        <w:pStyle w:val="ListNumber"/>
      </w:pPr>
      <w:r>
        <w:t>Der Eilrechtsschutz das einzig sinnvolle und rechtzeitige Rechtsschutzinstrument war (vgl. BVerfG, Beschl. v. 01.12.1992 — 1 BvR 88/91, NJW 1993, 1385).</w:t>
      </w:r>
    </w:p>
    <w:p>
      <w:pPr>
        <w:pStyle w:val="ListNumber"/>
      </w:pPr>
      <w:r>
        <w:t>Die Hauptsache aufgrund des Zeitlaufs keine praktische Bedeutung mehr hatte — das Camp war für den 16.03.-30.04.2026 geplant; bis zu einem rechtskräftigen Hauptsacheurteil wäre der Zeitraum längst verstrichen.</w:t>
      </w:r>
    </w:p>
    <w:p>
      <w:pPr>
        <w:pStyle w:val="ListNumber"/>
      </w:pPr>
      <w:r>
        <w:t>Die gerügte Grundrechtsverletzung liegt in der sofort wirksamen Verbotsverfügung, nicht erst im Hauptsacheverfahren.</w:t>
      </w:r>
    </w:p>
    <w:p>
      <w:pPr>
        <w:jc w:val="left"/>
      </w:pPr>
      <w:r>
        <w:t>Vgl. BVerfG, Beschl. v. 14.05.1985 — 1 BvR 233/81 (Brokdorf): Die Erschöpfung des Rechtswegs im Eilverfahren genügt bei Versammlungsverboten, wenn der Hauptsacheweg angesichts des zeitlich begrenzten Anlasses keine effektive Abhilfe bieten kann.</w:t>
      </w:r>
    </w:p>
    <w:p/>
    <w:p>
      <w:pPr>
        <w:pStyle w:val="Heading2"/>
      </w:pPr>
      <w:r>
        <w:rPr>
          <w:rFonts w:ascii="Times New Roman" w:hAnsi="Times New Roman"/>
        </w:rPr>
        <w:t>IV. Ausnahme vom Subsidiaritaetsgrundsatz (§ 90 II 2 BVerfGG)</w:t>
      </w:r>
    </w:p>
    <w:p>
      <w:pPr>
        <w:jc w:val="left"/>
      </w:pPr>
      <w:r>
        <w:t>Selbst wenn der Rechtsweg nicht als vollständig erschöpft angesehen würde, liegt eine Ausnahme nach § 90 II 2 BVerfGG vor:</w:t>
      </w:r>
    </w:p>
    <w:p>
      <w:pPr>
        <w:jc w:val="left"/>
      </w:pPr>
      <w:r>
        <w:rPr>
          <w:b/>
        </w:rPr>
        <w:t>§ 90 II 2 BVerfGG:</w:t>
      </w:r>
      <w:r>
        <w:t xml:space="preserve"> „Das Bundesverfassungsgericht kann über eine vor Erschöpfung des Rechtswegs eingelegte Verfassungsbeschwerde sofort entscheiden, wenn sie von allgemeiner Bedeutung ist oder wenn dem Beschwerdeführer ein schwerer und unabwendbarer Nachteil entstünde, falls er zunächst auf den Rechtsweg verwiesen würde."</w:t>
      </w:r>
    </w:p>
    <w:p>
      <w:pPr>
        <w:jc w:val="left"/>
      </w:pPr>
      <w:r>
        <w:rPr>
          <w:b/>
        </w:rPr>
        <w:t>Fallprüfung:</w:t>
      </w:r>
    </w:p>
    <w:p>
      <w:pPr>
        <w:jc w:val="left"/>
      </w:pPr>
      <w:r>
        <w:rPr>
          <w:i/>
        </w:rPr>
        <w:t>a) Schwerer und unabwendbarer Nachteil:</w:t>
      </w:r>
    </w:p>
    <w:p>
      <w:pPr>
        <w:jc w:val="left"/>
      </w:pPr>
      <w:r>
        <w:t>Das Versammlungsverbot wirkt ab sofort (sofortige Vollziehung). Ohne sofortige BVerfG-Entscheidung ist das Camp am 16.03.2026 nicht realisierbar. Der Grundrechtseingriff ist irreversibel — eine spätere Entscheidung kann den verpassten politischen Moment nicht wiederherstellen.</w:t>
      </w:r>
    </w:p>
    <w:p>
      <w:pPr>
        <w:jc w:val="left"/>
      </w:pPr>
      <w:r>
        <w:rPr>
          <w:i/>
        </w:rPr>
        <w:t>b) Allgemeine Bedeutung:</w:t>
      </w:r>
    </w:p>
    <w:p>
      <w:pPr>
        <w:jc w:val="left"/>
      </w:pPr>
      <w:r>
        <w:t>Die Frage, unter welchen Voraussetzungen Dauerprotestcamps in der Nähe von Parlamenten verboten werden können, ist eine Rechtsfrage von allgemeiner Bedeutung für Klimaprotestbewegungen bundesweit.</w:t>
      </w:r>
    </w:p>
    <w:p>
      <w:pPr>
        <w:jc w:val="left"/>
      </w:pPr>
      <w:r>
        <w:rPr>
          <w:b/>
        </w:rPr>
        <w:t>Ergebnis:</w:t>
      </w:r>
      <w:r>
        <w:t xml:space="preserve"> Die Ausnahme des § 90 II 2 BVerfGG liegt vor.</w:t>
      </w:r>
    </w:p>
    <w:p/>
    <w:p>
      <w:pPr>
        <w:pStyle w:val="Heading2"/>
      </w:pPr>
      <w:r>
        <w:rPr>
          <w:rFonts w:ascii="Times New Roman" w:hAnsi="Times New Roman"/>
        </w:rPr>
        <w:t>V. Ergebnis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Prüfpunkt</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Rechtsweg erschöpft?</w:t>
            </w:r>
          </w:p>
        </w:tc>
        <w:tc>
          <w:tcPr>
            <w:tcW w:type="dxa" w:w="4536"/>
          </w:tcPr>
          <w:p>
            <w:r>
              <w:rPr>
                <w:rFonts w:ascii="Times New Roman" w:hAnsi="Times New Roman"/>
                <w:sz w:val="20"/>
              </w:rPr>
              <w:t>Ja (VG, OVG)</w:t>
            </w:r>
          </w:p>
        </w:tc>
      </w:tr>
      <w:tr>
        <w:tc>
          <w:tcPr>
            <w:tcW w:type="dxa" w:w="4536"/>
          </w:tcPr>
          <w:p>
            <w:r>
              <w:rPr>
                <w:rFonts w:ascii="Times New Roman" w:hAnsi="Times New Roman"/>
                <w:sz w:val="20"/>
              </w:rPr>
              <w:t>Hauptsacheklage erforderlich?</w:t>
            </w:r>
          </w:p>
        </w:tc>
        <w:tc>
          <w:tcPr>
            <w:tcW w:type="dxa" w:w="4536"/>
          </w:tcPr>
          <w:p>
            <w:r>
              <w:rPr>
                <w:rFonts w:ascii="Times New Roman" w:hAnsi="Times New Roman"/>
                <w:sz w:val="20"/>
              </w:rPr>
              <w:t>Nein (Zeitlaufargument, Versammlungsrecht)</w:t>
            </w:r>
          </w:p>
        </w:tc>
      </w:tr>
      <w:tr>
        <w:tc>
          <w:tcPr>
            <w:tcW w:type="dxa" w:w="4536"/>
          </w:tcPr>
          <w:p>
            <w:r>
              <w:rPr>
                <w:rFonts w:ascii="Times New Roman" w:hAnsi="Times New Roman"/>
                <w:sz w:val="20"/>
              </w:rPr>
              <w:t>§ 90 II 2 BVerfGG-Ausnahme?</w:t>
            </w:r>
          </w:p>
        </w:tc>
        <w:tc>
          <w:tcPr>
            <w:tcW w:type="dxa" w:w="4536"/>
          </w:tcPr>
          <w:p>
            <w:r>
              <w:rPr>
                <w:rFonts w:ascii="Times New Roman" w:hAnsi="Times New Roman"/>
                <w:sz w:val="20"/>
              </w:rPr>
              <w:t>Ja (schwerer Nachteil + allgemeine Bedeutung)</w:t>
            </w:r>
          </w:p>
        </w:tc>
      </w:tr>
      <w:tr>
        <w:tc>
          <w:tcPr>
            <w:tcW w:type="dxa" w:w="4536"/>
          </w:tcPr>
          <w:p>
            <w:r>
              <w:rPr>
                <w:rFonts w:ascii="Times New Roman" w:hAnsi="Times New Roman"/>
                <w:b/>
                <w:sz w:val="20"/>
              </w:rPr>
              <w:t>Subsidiarität erfüllt?</w:t>
            </w:r>
          </w:p>
        </w:tc>
        <w:tc>
          <w:tcPr>
            <w:tcW w:type="dxa" w:w="4536"/>
          </w:tcPr>
          <w:p>
            <w:r>
              <w:rPr>
                <w:rFonts w:ascii="Times New Roman" w:hAnsi="Times New Roman"/>
                <w:b/>
                <w:sz w:val="20"/>
              </w:rPr>
              <w:t>Ja</w:t>
            </w:r>
          </w:p>
        </w:tc>
      </w:tr>
    </w:tbl>
    <w:p>
      <w:pPr>
        <w:jc w:val="left"/>
      </w:pPr>
      <w:r>
        <w:t>Die Verfassungsbeschwerde ist hinsichtlich des Subsidiaritaetsgrundsatzes zulassig.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