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 Fristberechnung § 93 III BVerfGG</w:t>
      </w:r>
    </w:p>
    <w:p>
      <w:pPr>
        <w:jc w:val="left"/>
      </w:pPr>
      <w:r>
        <w:rPr>
          <w:b/>
        </w:rPr>
        <w:t>Bearbeiter:</w:t>
      </w:r>
      <w:r>
        <w:t xml:space="preserve"> RA Dr. Roosendaal-Eichmueller</w:t>
      </w:r>
    </w:p>
    <w:p>
      <w:pPr>
        <w:jc w:val="left"/>
      </w:pPr>
      <w:r>
        <w:rPr>
          <w:b/>
        </w:rPr>
        <w:t>Stand:</w:t>
      </w:r>
      <w:r>
        <w:t xml:space="preserve"> 16.03.2026</w:t>
      </w:r>
    </w:p>
    <w:p/>
    <w:p>
      <w:pPr>
        <w:pStyle w:val="Heading2"/>
      </w:pPr>
      <w:r>
        <w:rPr>
          <w:rFonts w:ascii="Times New Roman" w:hAnsi="Times New Roman"/>
        </w:rPr>
        <w:t>I. Gesetzliche Grundlage</w:t>
      </w:r>
    </w:p>
    <w:p>
      <w:pPr>
        <w:jc w:val="left"/>
      </w:pPr>
      <w:r>
        <w:rPr>
          <w:b/>
        </w:rPr>
        <w:t>§ 93 III BVerfGG:</w:t>
      </w:r>
      <w:r>
        <w:t xml:space="preserve"> Richtet sich die Verfassungsbeschwerde gegen eine gerichtliche Entscheidung, so ist sie innerhalb eines Monats zu erheben. Diese Frist beginnt mit der Zustellung oder formlosen Mitteilung der in vollständiger Form abgefassten Entscheidung.</w:t>
      </w:r>
    </w:p>
    <w:p/>
    <w:p>
      <w:pPr>
        <w:pStyle w:val="Heading2"/>
      </w:pPr>
      <w:r>
        <w:rPr>
          <w:rFonts w:ascii="Times New Roman" w:hAnsi="Times New Roman"/>
        </w:rPr>
        <w:t>II. Massgebliche Entscheidung und Zustellungsdatum</w:t>
      </w:r>
    </w:p>
    <w:p>
      <w:pPr>
        <w:jc w:val="left"/>
      </w:pPr>
      <w:r>
        <w:t>Die massgebliche letztinstanzliche Entscheidung ist der Beschluss des OVG Saarland vom 15.03.2026, Aktenzeichen 1 B 14/26.</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Ereignis</w:t>
            </w:r>
          </w:p>
        </w:tc>
        <w:tc>
          <w:tcPr>
            <w:tcW w:type="dxa" w:w="2268"/>
          </w:tcPr>
          <w:p>
            <w:r>
              <w:rPr>
                <w:rFonts w:ascii="Times New Roman" w:hAnsi="Times New Roman"/>
                <w:b/>
                <w:sz w:val="20"/>
              </w:rPr>
              <w:t>Datum</w:t>
            </w:r>
          </w:p>
        </w:tc>
        <w:tc>
          <w:tcPr>
            <w:tcW w:type="dxa" w:w="2268"/>
          </w:tcPr>
          <w:p>
            <w:r>
              <w:rPr>
                <w:rFonts w:ascii="Times New Roman" w:hAnsi="Times New Roman"/>
                <w:b/>
                <w:sz w:val="20"/>
              </w:rPr>
              <w:t>Uhrzeit</w:t>
            </w:r>
          </w:p>
        </w:tc>
        <w:tc>
          <w:tcPr>
            <w:tcW w:type="dxa" w:w="2268"/>
          </w:tcPr>
          <w:p>
            <w:r>
              <w:rPr>
                <w:rFonts w:ascii="Times New Roman" w:hAnsi="Times New Roman"/>
                <w:b/>
                <w:sz w:val="20"/>
              </w:rPr>
              <w:t>Grundlage</w:t>
            </w:r>
          </w:p>
        </w:tc>
      </w:tr>
      <w:tr>
        <w:tc>
          <w:tcPr>
            <w:tcW w:type="dxa" w:w="2268"/>
          </w:tcPr>
          <w:p>
            <w:r>
              <w:rPr>
                <w:rFonts w:ascii="Times New Roman" w:hAnsi="Times New Roman"/>
                <w:sz w:val="20"/>
              </w:rPr>
              <w:t>Erlass OVG-Beschluss</w:t>
            </w:r>
          </w:p>
        </w:tc>
        <w:tc>
          <w:tcPr>
            <w:tcW w:type="dxa" w:w="2268"/>
          </w:tcPr>
          <w:p>
            <w:r>
              <w:rPr>
                <w:rFonts w:ascii="Times New Roman" w:hAnsi="Times New Roman"/>
                <w:sz w:val="20"/>
              </w:rPr>
              <w:t>15.03.2026</w:t>
            </w:r>
          </w:p>
        </w:tc>
        <w:tc>
          <w:tcPr>
            <w:tcW w:type="dxa" w:w="2268"/>
          </w:tcPr>
          <w:p>
            <w:r>
              <w:rPr>
                <w:rFonts w:ascii="Times New Roman" w:hAnsi="Times New Roman"/>
                <w:sz w:val="20"/>
              </w:rPr>
              <w:t>—</w:t>
            </w:r>
          </w:p>
        </w:tc>
        <w:tc>
          <w:tcPr>
            <w:tcW w:type="dxa" w:w="2268"/>
          </w:tcPr>
          <w:p>
            <w:r>
              <w:rPr>
                <w:rFonts w:ascii="Times New Roman" w:hAnsi="Times New Roman"/>
                <w:sz w:val="20"/>
              </w:rPr>
              <w:t>—</w:t>
            </w:r>
          </w:p>
        </w:tc>
      </w:tr>
      <w:tr>
        <w:tc>
          <w:tcPr>
            <w:tcW w:type="dxa" w:w="2268"/>
          </w:tcPr>
          <w:p>
            <w:r>
              <w:rPr>
                <w:rFonts w:ascii="Times New Roman" w:hAnsi="Times New Roman"/>
                <w:sz w:val="20"/>
              </w:rPr>
              <w:t>Zustellung per Fax (Kanzlei)</w:t>
            </w:r>
          </w:p>
        </w:tc>
        <w:tc>
          <w:tcPr>
            <w:tcW w:type="dxa" w:w="2268"/>
          </w:tcPr>
          <w:p>
            <w:r>
              <w:rPr>
                <w:rFonts w:ascii="Times New Roman" w:hAnsi="Times New Roman"/>
                <w:sz w:val="20"/>
              </w:rPr>
              <w:t>15.03.2026</w:t>
            </w:r>
          </w:p>
        </w:tc>
        <w:tc>
          <w:tcPr>
            <w:tcW w:type="dxa" w:w="2268"/>
          </w:tcPr>
          <w:p>
            <w:r>
              <w:rPr>
                <w:rFonts w:ascii="Times New Roman" w:hAnsi="Times New Roman"/>
                <w:sz w:val="20"/>
              </w:rPr>
              <w:t>22:14 Uhr</w:t>
            </w:r>
          </w:p>
        </w:tc>
        <w:tc>
          <w:tcPr>
            <w:tcW w:type="dxa" w:w="2268"/>
          </w:tcPr>
          <w:p>
            <w:r>
              <w:rPr>
                <w:rFonts w:ascii="Times New Roman" w:hAnsi="Times New Roman"/>
                <w:sz w:val="20"/>
              </w:rPr>
              <w:t>Fax-Eingangsbestätigung</w:t>
            </w:r>
          </w:p>
        </w:tc>
      </w:tr>
      <w:tr>
        <w:tc>
          <w:tcPr>
            <w:tcW w:type="dxa" w:w="2268"/>
          </w:tcPr>
          <w:p>
            <w:r>
              <w:rPr>
                <w:rFonts w:ascii="Times New Roman" w:hAnsi="Times New Roman"/>
                <w:sz w:val="20"/>
              </w:rPr>
              <w:t>Eingang OVG-Beschluss (formal)</w:t>
            </w:r>
          </w:p>
        </w:tc>
        <w:tc>
          <w:tcPr>
            <w:tcW w:type="dxa" w:w="2268"/>
          </w:tcPr>
          <w:p>
            <w:r>
              <w:rPr>
                <w:rFonts w:ascii="Times New Roman" w:hAnsi="Times New Roman"/>
                <w:sz w:val="20"/>
              </w:rPr>
              <w:t>15.03.2026</w:t>
            </w:r>
          </w:p>
        </w:tc>
        <w:tc>
          <w:tcPr>
            <w:tcW w:type="dxa" w:w="2268"/>
          </w:tcPr>
          <w:p>
            <w:r>
              <w:rPr>
                <w:rFonts w:ascii="Times New Roman" w:hAnsi="Times New Roman"/>
                <w:sz w:val="20"/>
              </w:rPr>
              <w:t>22:14 Uhr</w:t>
            </w:r>
          </w:p>
        </w:tc>
        <w:tc>
          <w:tcPr>
            <w:tcW w:type="dxa" w:w="2268"/>
          </w:tcPr>
          <w:p>
            <w:r>
              <w:rPr>
                <w:rFonts w:ascii="Times New Roman" w:hAnsi="Times New Roman"/>
                <w:sz w:val="20"/>
              </w:rPr>
              <w:t>Massgeblich für Fristbeginn</w:t>
            </w:r>
          </w:p>
        </w:tc>
      </w:tr>
    </w:tbl>
    <w:p/>
    <w:p>
      <w:pPr>
        <w:pStyle w:val="Heading2"/>
      </w:pPr>
      <w:r>
        <w:rPr>
          <w:rFonts w:ascii="Times New Roman" w:hAnsi="Times New Roman"/>
        </w:rPr>
        <w:t>III. Fristberechnung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Berechnungsschritt</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Fristbeginn (§ 187 I BGB analog: Tag nach Zustellung)</w:t>
            </w:r>
          </w:p>
        </w:tc>
        <w:tc>
          <w:tcPr>
            <w:tcW w:type="dxa" w:w="4536"/>
          </w:tcPr>
          <w:p>
            <w:r>
              <w:rPr>
                <w:rFonts w:ascii="Times New Roman" w:hAnsi="Times New Roman"/>
                <w:sz w:val="20"/>
              </w:rPr>
              <w:t>16.03.2026</w:t>
            </w:r>
          </w:p>
        </w:tc>
      </w:tr>
      <w:tr>
        <w:tc>
          <w:tcPr>
            <w:tcW w:type="dxa" w:w="4536"/>
          </w:tcPr>
          <w:p>
            <w:r>
              <w:rPr>
                <w:rFonts w:ascii="Times New Roman" w:hAnsi="Times New Roman"/>
                <w:sz w:val="20"/>
              </w:rPr>
              <w:t>Fristdauer</w:t>
            </w:r>
          </w:p>
        </w:tc>
        <w:tc>
          <w:tcPr>
            <w:tcW w:type="dxa" w:w="4536"/>
          </w:tcPr>
          <w:p>
            <w:r>
              <w:rPr>
                <w:rFonts w:ascii="Times New Roman" w:hAnsi="Times New Roman"/>
                <w:sz w:val="20"/>
              </w:rPr>
              <w:t>1 Monat</w:t>
            </w:r>
          </w:p>
        </w:tc>
      </w:tr>
      <w:tr>
        <w:tc>
          <w:tcPr>
            <w:tcW w:type="dxa" w:w="4536"/>
          </w:tcPr>
          <w:p>
            <w:r>
              <w:rPr>
                <w:rFonts w:ascii="Times New Roman" w:hAnsi="Times New Roman"/>
                <w:sz w:val="20"/>
              </w:rPr>
              <w:t>Fristende (§ 188 II BGB analog: gleicher Tag des Folgemonats)</w:t>
            </w:r>
          </w:p>
        </w:tc>
        <w:tc>
          <w:tcPr>
            <w:tcW w:type="dxa" w:w="4536"/>
          </w:tcPr>
          <w:p>
            <w:r>
              <w:rPr>
                <w:rFonts w:ascii="Times New Roman" w:hAnsi="Times New Roman"/>
                <w:sz w:val="20"/>
              </w:rPr>
              <w:t>15.04.2026</w:t>
            </w:r>
          </w:p>
        </w:tc>
      </w:tr>
      <w:tr>
        <w:tc>
          <w:tcPr>
            <w:tcW w:type="dxa" w:w="4536"/>
          </w:tcPr>
          <w:p>
            <w:r>
              <w:rPr>
                <w:rFonts w:ascii="Times New Roman" w:hAnsi="Times New Roman"/>
                <w:sz w:val="20"/>
              </w:rPr>
              <w:t>Fällt auf Samstag/Sonntag/Feiertag?</w:t>
            </w:r>
          </w:p>
        </w:tc>
        <w:tc>
          <w:tcPr>
            <w:tcW w:type="dxa" w:w="4536"/>
          </w:tcPr>
          <w:p>
            <w:r>
              <w:rPr>
                <w:rFonts w:ascii="Times New Roman" w:hAnsi="Times New Roman"/>
                <w:sz w:val="20"/>
              </w:rPr>
              <w:t>Nein (Mittwoch)</w:t>
            </w:r>
          </w:p>
        </w:tc>
      </w:tr>
      <w:tr>
        <w:tc>
          <w:tcPr>
            <w:tcW w:type="dxa" w:w="4536"/>
          </w:tcPr>
          <w:p>
            <w:r>
              <w:rPr>
                <w:rFonts w:ascii="Times New Roman" w:hAnsi="Times New Roman"/>
                <w:b/>
                <w:sz w:val="20"/>
              </w:rPr>
              <w:t>Verfristungsabsolutes Datum</w:t>
            </w:r>
          </w:p>
        </w:tc>
        <w:tc>
          <w:tcPr>
            <w:tcW w:type="dxa" w:w="4536"/>
          </w:tcPr>
          <w:p>
            <w:r>
              <w:rPr>
                <w:rFonts w:ascii="Times New Roman" w:hAnsi="Times New Roman"/>
                <w:b/>
                <w:sz w:val="20"/>
              </w:rPr>
              <w:t>15. April 2026, 24:00 Uhr</w:t>
            </w:r>
          </w:p>
        </w:tc>
      </w:tr>
    </w:tbl>
    <w:p/>
    <w:p>
      <w:pPr>
        <w:pStyle w:val="Heading2"/>
      </w:pPr>
      <w:r>
        <w:rPr>
          <w:rFonts w:ascii="Times New Roman" w:hAnsi="Times New Roman"/>
        </w:rPr>
        <w:t>IV. Einreichungsdatum</w:t>
      </w:r>
    </w:p>
    <w:p>
      <w:pPr>
        <w:jc w:val="left"/>
      </w:pPr>
      <w:r>
        <w:t xml:space="preserve">Die Verfassungsbeschwerde wird am </w:t>
      </w:r>
      <w:r>
        <w:rPr>
          <w:b/>
        </w:rPr>
        <w:t>16. März 2026</w:t>
      </w:r>
      <w:r>
        <w:t xml:space="preserve"> eingereicht (per Fax und E-Mail an das BVerfG).</w:t>
      </w:r>
    </w:p>
    <w:p>
      <w:pPr>
        <w:jc w:val="left"/>
      </w:pPr>
      <w:r>
        <w:rPr>
          <w:b/>
        </w:rPr>
        <w:t>Ergebnis:</w:t>
      </w:r>
      <w:r>
        <w:t xml:space="preserve"> Die Frist des § 93 III BVerfGG ist eingehalten. Die Beschwerde ist deutlich innerhalb der Monatsfrist eingereicht worden.</w:t>
      </w:r>
    </w:p>
    <w:p/>
    <w:p>
      <w:pPr>
        <w:pStyle w:val="Heading2"/>
      </w:pPr>
      <w:r>
        <w:rPr>
          <w:rFonts w:ascii="Times New Roman" w:hAnsi="Times New Roman"/>
        </w:rPr>
        <w:t>V. Besonderheit: Eilantrag § 32 BVerfGG</w:t>
      </w:r>
    </w:p>
    <w:p>
      <w:pPr>
        <w:jc w:val="left"/>
      </w:pPr>
      <w:r>
        <w:t>Der Eilantrag nach § 32 BVerfGG unterliegt keiner gesetzlichen Ausschlussfrst, muss jedoch unverzüglich nach Erlass des angegriffenen Beschlusses und vor Ablauf der Wirkung der angegriffenen Massnahme gestellt werden. Das Klimacamp-Verbot ist ab sofort vollziehbar; der geplante Campbeginn wäre am 16.03.2026 gewesen. Der Eilantrag wird am 16.03.2026, 07:00 Uhr, gleichzeitig mit der Verfassungsbeschwerde eingereicht.</w:t>
      </w:r>
    </w:p>
    <w:p/>
    <w:p>
      <w:pPr>
        <w:pStyle w:val="Heading2"/>
      </w:pPr>
      <w:r>
        <w:rPr>
          <w:rFonts w:ascii="Times New Roman" w:hAnsi="Times New Roman"/>
        </w:rPr>
        <w:t>VI. Hilfsweise: Wiedereinsetzung (§ 93 II BVerfGG)</w:t>
      </w:r>
    </w:p>
    <w:p>
      <w:pPr>
        <w:jc w:val="left"/>
      </w:pPr>
      <w:r>
        <w:t>Eine Wiedereinsetzung in den vorigen Stand würde voraussichtlich nicht benötigt (Frist eingehalten). Nur hilfsweise sei festgehalten:</w:t>
      </w:r>
    </w:p>
    <w:p>
      <w:pPr>
        <w:jc w:val="left"/>
      </w:pPr>
      <w:r>
        <w:t>Gemäß § 93 II BVerfGG kann Wiedereinsetzung gewahrt werden, wenn die Versaeumung der Frist auf einem unabwendbaren Ereignis beruht. Da die Kanzlei am 15.03.2026 um 22:14 Uhr den OVG-Beschluss erhielt und am Folgetag fristgerecht einreichte, wäre auch eine etwaige Versaeumung durch die Unmittelbarkeit der Entscheidung entschuldigt.</w:t>
      </w:r>
    </w:p>
    <w:p/>
    <w:p>
      <w:pPr>
        <w:pStyle w:val="Heading2"/>
      </w:pPr>
      <w:r>
        <w:rPr>
          <w:rFonts w:ascii="Times New Roman" w:hAnsi="Times New Roman"/>
        </w:rPr>
        <w:t>VII. Tabellarische Übersicht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Akt</w:t>
            </w:r>
          </w:p>
        </w:tc>
        <w:tc>
          <w:tcPr>
            <w:tcW w:type="dxa" w:w="3024"/>
          </w:tcPr>
          <w:p>
            <w:r>
              <w:rPr>
                <w:rFonts w:ascii="Times New Roman" w:hAnsi="Times New Roman"/>
                <w:b/>
                <w:sz w:val="20"/>
              </w:rPr>
              <w:t>Datum</w:t>
            </w:r>
          </w:p>
        </w:tc>
        <w:tc>
          <w:tcPr>
            <w:tcW w:type="dxa" w:w="3024"/>
          </w:tcPr>
          <w:p>
            <w:r>
              <w:rPr>
                <w:rFonts w:ascii="Times New Roman" w:hAnsi="Times New Roman"/>
                <w:b/>
                <w:sz w:val="20"/>
              </w:rPr>
              <w:t>Frist</w:t>
            </w:r>
          </w:p>
        </w:tc>
      </w:tr>
      <w:tr>
        <w:tc>
          <w:tcPr>
            <w:tcW w:type="dxa" w:w="3024"/>
          </w:tcPr>
          <w:p>
            <w:r>
              <w:rPr>
                <w:rFonts w:ascii="Times New Roman" w:hAnsi="Times New Roman"/>
                <w:sz w:val="20"/>
              </w:rPr>
              <w:t>Verbotsverfügung Stadtrechtsamt</w:t>
            </w:r>
          </w:p>
        </w:tc>
        <w:tc>
          <w:tcPr>
            <w:tcW w:type="dxa" w:w="3024"/>
          </w:tcPr>
          <w:p>
            <w:r>
              <w:rPr>
                <w:rFonts w:ascii="Times New Roman" w:hAnsi="Times New Roman"/>
                <w:sz w:val="20"/>
              </w:rPr>
              <w:t>12.03.2026</w:t>
            </w:r>
          </w:p>
        </w:tc>
        <w:tc>
          <w:tcPr>
            <w:tcW w:type="dxa" w:w="3024"/>
          </w:tcPr>
          <w:p>
            <w:r>
              <w:rPr>
                <w:rFonts w:ascii="Times New Roman" w:hAnsi="Times New Roman"/>
                <w:sz w:val="20"/>
              </w:rPr>
              <w:t>—</w:t>
            </w:r>
          </w:p>
        </w:tc>
      </w:tr>
      <w:tr>
        <w:tc>
          <w:tcPr>
            <w:tcW w:type="dxa" w:w="3024"/>
          </w:tcPr>
          <w:p>
            <w:r>
              <w:rPr>
                <w:rFonts w:ascii="Times New Roman" w:hAnsi="Times New Roman"/>
                <w:sz w:val="20"/>
              </w:rPr>
              <w:t>VG-Beschluss (2 K 188/26)</w:t>
            </w:r>
          </w:p>
        </w:tc>
        <w:tc>
          <w:tcPr>
            <w:tcW w:type="dxa" w:w="3024"/>
          </w:tcPr>
          <w:p>
            <w:r>
              <w:rPr>
                <w:rFonts w:ascii="Times New Roman" w:hAnsi="Times New Roman"/>
                <w:sz w:val="20"/>
              </w:rPr>
              <w:t>14.03.2026</w:t>
            </w:r>
          </w:p>
        </w:tc>
        <w:tc>
          <w:tcPr>
            <w:tcW w:type="dxa" w:w="3024"/>
          </w:tcPr>
          <w:p>
            <w:r>
              <w:rPr>
                <w:rFonts w:ascii="Times New Roman" w:hAnsi="Times New Roman"/>
                <w:sz w:val="20"/>
              </w:rPr>
              <w:t>—</w:t>
            </w:r>
          </w:p>
        </w:tc>
      </w:tr>
      <w:tr>
        <w:tc>
          <w:tcPr>
            <w:tcW w:type="dxa" w:w="3024"/>
          </w:tcPr>
          <w:p>
            <w:r>
              <w:rPr>
                <w:rFonts w:ascii="Times New Roman" w:hAnsi="Times New Roman"/>
                <w:sz w:val="20"/>
              </w:rPr>
              <w:t>OVG-Beschluss (1 B 14/26) — Zustellung</w:t>
            </w:r>
          </w:p>
        </w:tc>
        <w:tc>
          <w:tcPr>
            <w:tcW w:type="dxa" w:w="3024"/>
          </w:tcPr>
          <w:p>
            <w:r>
              <w:rPr>
                <w:rFonts w:ascii="Times New Roman" w:hAnsi="Times New Roman"/>
                <w:sz w:val="20"/>
              </w:rPr>
              <w:t>15.03.2026, 22:14 Uhr</w:t>
            </w:r>
          </w:p>
        </w:tc>
        <w:tc>
          <w:tcPr>
            <w:tcW w:type="dxa" w:w="3024"/>
          </w:tcPr>
          <w:p>
            <w:r>
              <w:rPr>
                <w:rFonts w:ascii="Times New Roman" w:hAnsi="Times New Roman"/>
                <w:sz w:val="20"/>
              </w:rPr>
              <w:t>Fristbeginn 16.03.2026</w:t>
            </w:r>
          </w:p>
        </w:tc>
      </w:tr>
      <w:tr>
        <w:tc>
          <w:tcPr>
            <w:tcW w:type="dxa" w:w="3024"/>
          </w:tcPr>
          <w:p>
            <w:r>
              <w:rPr>
                <w:rFonts w:ascii="Times New Roman" w:hAnsi="Times New Roman"/>
                <w:sz w:val="20"/>
              </w:rPr>
              <w:t>Einreichung VB + Eilantrag BVerfG</w:t>
            </w:r>
          </w:p>
        </w:tc>
        <w:tc>
          <w:tcPr>
            <w:tcW w:type="dxa" w:w="3024"/>
          </w:tcPr>
          <w:p>
            <w:r>
              <w:rPr>
                <w:rFonts w:ascii="Times New Roman" w:hAnsi="Times New Roman"/>
                <w:sz w:val="20"/>
              </w:rPr>
              <w:t>16.03.2026, 07:00 Uhr</w:t>
            </w:r>
          </w:p>
        </w:tc>
        <w:tc>
          <w:tcPr>
            <w:tcW w:type="dxa" w:w="3024"/>
          </w:tcPr>
          <w:p>
            <w:r>
              <w:rPr>
                <w:rFonts w:ascii="Times New Roman" w:hAnsi="Times New Roman"/>
                <w:sz w:val="20"/>
              </w:rPr>
              <w:t>30 Tage vor Ablauf</w:t>
            </w:r>
          </w:p>
        </w:tc>
      </w:tr>
      <w:tr>
        <w:tc>
          <w:tcPr>
            <w:tcW w:type="dxa" w:w="3024"/>
          </w:tcPr>
          <w:p>
            <w:r>
              <w:rPr>
                <w:rFonts w:ascii="Times New Roman" w:hAnsi="Times New Roman"/>
                <w:sz w:val="20"/>
              </w:rPr>
              <w:t>Monatsfrist § 93 III BVerfGG läuft ab</w:t>
            </w:r>
          </w:p>
        </w:tc>
        <w:tc>
          <w:tcPr>
            <w:tcW w:type="dxa" w:w="3024"/>
          </w:tcPr>
          <w:p>
            <w:r>
              <w:rPr>
                <w:rFonts w:ascii="Times New Roman" w:hAnsi="Times New Roman"/>
                <w:b/>
                <w:sz w:val="20"/>
              </w:rPr>
              <w:t>15.04.2026</w:t>
            </w:r>
          </w:p>
        </w:tc>
        <w:tc>
          <w:tcPr>
            <w:tcW w:type="dxa" w:w="3024"/>
          </w:tcPr>
          <w:p>
            <w:r>
              <w:rPr>
                <w:rFonts w:ascii="Times New Roman" w:hAnsi="Times New Roman"/>
                <w:sz w:val="20"/>
              </w:rPr>
              <w:t>—</w:t>
            </w:r>
          </w:p>
        </w:tc>
      </w:tr>
    </w:tbl>
    <w:p/>
    <w:p>
      <w:pPr>
        <w:pStyle w:val="Heading2"/>
      </w:pPr>
      <w:r>
        <w:rPr>
          <w:rFonts w:ascii="Times New Roman" w:hAnsi="Times New Roman"/>
        </w:rPr>
        <w:t>VIII. Interne Fristenkontrolle</w:t>
      </w:r>
    </w:p>
    <w:p>
      <w:pPr>
        <w:jc w:val="left"/>
      </w:pPr>
      <w:r>
        <w:t xml:space="preserve">Erinnerung eingestellt für: </w:t>
      </w:r>
      <w:r>
        <w:rPr>
          <w:b/>
        </w:rPr>
        <w:t>08.04.2026</w:t>
      </w:r>
      <w:r>
        <w:t xml:space="preserve"> (7 Tage vor Fristablauf, für den Fall von Nachreichungen)</w:t>
      </w:r>
    </w:p>
    <w:p>
      <w:pPr>
        <w:jc w:val="left"/>
      </w:pPr>
      <w:r>
        <w:t>Vgl. Aktenstück Fristenkontrolle-93-bverfgg.xlsx für vollständige tabellarische Erinnerungssteuerung.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