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rPr>
        <w:t>11 — Protokoll Mandantengespraech und Verfahrensvorbereitung</w:t>
      </w:r>
    </w:p>
    <w:p>
      <w:pPr>
        <w:jc w:val="left"/>
      </w:pPr>
      <w:r>
        <w:rPr>
          <w:b/>
        </w:rPr>
        <w:t>Datum:</w:t>
      </w:r>
      <w:r>
        <w:t xml:space="preserve"> 13. März 2026, 08:30 — 11:00 Uhr</w:t>
      </w:r>
    </w:p>
    <w:p>
      <w:pPr>
        <w:jc w:val="left"/>
      </w:pPr>
      <w:r>
        <w:rPr>
          <w:b/>
        </w:rPr>
        <w:t>Ort:</w:t>
      </w:r>
      <w:r>
        <w:t xml:space="preserve"> Kanzlei Roosendaal Schwingenstein Partner, Eisenbahnstrasse 7, 66111 Saarbruecken</w:t>
      </w:r>
    </w:p>
    <w:p>
      <w:pPr>
        <w:jc w:val="left"/>
      </w:pPr>
      <w:r>
        <w:rPr>
          <w:b/>
        </w:rPr>
        <w:t>Protokollfuehrender:</w:t>
      </w:r>
      <w:r>
        <w:t xml:space="preserve"> RA Dr. Roosendaal-Eichmueller</w:t>
      </w:r>
    </w:p>
    <w:p>
      <w:pPr>
        <w:jc w:val="left"/>
      </w:pPr>
      <w:r>
        <w:rPr>
          <w:b/>
        </w:rPr>
        <w:t>Anwesend:</w:t>
      </w:r>
      <w:r>
        <w:t xml:space="preserve"> Dr. Friedrich Tannenberg-Roosendaal (BF 1, Vorsitzender Initiative); Leon Steffenhagen (BF 2); Annika Dreisbach-Möller (BF 3); Dr. Maja Pohlmann-Wittfeldt (BF 8); RA Dr. Roosendaal-Eichmueller; RA Schwingenstein (zeitweise)</w:t>
      </w:r>
    </w:p>
    <w:p/>
    <w:p>
      <w:pPr>
        <w:pStyle w:val="Heading2"/>
      </w:pPr>
      <w:r>
        <w:rPr>
          <w:rFonts w:ascii="Times New Roman" w:hAnsi="Times New Roman"/>
        </w:rPr>
        <w:t>I. Sachverhaltsaufnahme</w:t>
      </w:r>
    </w:p>
    <w:p>
      <w:pPr>
        <w:pStyle w:val="Heading3"/>
      </w:pPr>
      <w:r>
        <w:rPr>
          <w:rFonts w:ascii="Times New Roman" w:hAnsi="Times New Roman"/>
        </w:rPr>
        <w:t>I.1 Hintergrund der Initiative</w:t>
      </w:r>
    </w:p>
    <w:p>
      <w:pPr>
        <w:jc w:val="left"/>
      </w:pPr>
      <w:r>
        <w:t>Dr. Tannenberg-Roosendaal erläutert: Die Klimacamp Initiative wurde im September 2023 gegründet, nachdem die Saarländische Landesregierung ein Energieförderungsgesetz angekündigt hatte, das nach Ansicht der Initiative fossile Energieträger bevorzugt. Seitdem hat die Initiative 340 Mitglieder, zahlreiche Kundgebungen und eine starke Medienpräsenz aufgebaut.</w:t>
      </w:r>
    </w:p>
    <w:p>
      <w:pPr>
        <w:jc w:val="left"/>
      </w:pPr>
      <w:r>
        <w:t>Das jetzt geplante Dauercamp soll gezielt während der Beratungen des Energieförderungsgesetzes stattfinden. Die Plenarsitzungen im Saarländischen Landtag sind für den 17.03.-14.04.2026 und 27.04.-30.04.2026 geplant.</w:t>
      </w:r>
    </w:p>
    <w:p>
      <w:pPr>
        <w:pStyle w:val="Heading3"/>
      </w:pPr>
      <w:r>
        <w:rPr>
          <w:rFonts w:ascii="Times New Roman" w:hAnsi="Times New Roman"/>
        </w:rPr>
        <w:t>I.2 Vorgeschichte Camp-Versuch 15.03.2026</w:t>
      </w:r>
    </w:p>
    <w:p>
      <w:pPr>
        <w:jc w:val="left"/>
      </w:pPr>
      <w:r>
        <w:t>Am 15.03.2026 (Vortag des geplanten offiziellen Campbeginns) haben etwa 25 Mitglieder der Initiative versucht, einen provisorischen Informationsstand und 2 Zelte auf dem Landtagsvorplatz aufzubauen. Die Polizei hat die Aktion nach ca. 45 Minuten aufgelöst. Dabei wurden Anzeigen gegen 4 Personen wegen § 21 VersG (Versammlung trotz Verbots) erstattet. Unter den Angezeigten: BF 2 (Leon Steffenhagen), BF 4 (Carla Hentschel), BF 5 (Tobias Nathrath) sowie ein weiteres Mitglied der Initiative (kein BF). Das Strafverfahren führt RA Schwingenstein parallel.</w:t>
      </w:r>
    </w:p>
    <w:p>
      <w:pPr>
        <w:pStyle w:val="Heading3"/>
      </w:pPr>
      <w:r>
        <w:rPr>
          <w:rFonts w:ascii="Times New Roman" w:hAnsi="Times New Roman"/>
        </w:rPr>
        <w:t>I.3 Versammlungskonzept</w:t>
      </w:r>
    </w:p>
    <w:p>
      <w:pPr>
        <w:jc w:val="left"/>
      </w:pPr>
      <w:r>
        <w:t>Vorgelegt wird das Versammlungskonzept der Initiative (→ Aktenstück 12). Das Konzept sieht vor:</w:t>
      </w:r>
    </w:p>
    <w:p>
      <w:pPr>
        <w:pStyle w:val="ListBullet"/>
      </w:pPr>
      <w:r>
        <w:t>Hauptzelt (6 m x 4 m) als Versammlungs- und Informationsbereich</w:t>
      </w:r>
    </w:p>
    <w:p>
      <w:pPr>
        <w:pStyle w:val="ListBullet"/>
      </w:pPr>
      <w:r>
        <w:t>4 Schlafzelte für Dauerteilnehmer (max. 10 Personen gleichzeitig)</w:t>
      </w:r>
    </w:p>
    <w:p>
      <w:pPr>
        <w:pStyle w:val="ListBullet"/>
      </w:pPr>
      <w:r>
        <w:t>Küchen- und Sanitärbereich (mobil, ohne Eingriff in den Untergrund)</w:t>
      </w:r>
    </w:p>
    <w:p>
      <w:pPr>
        <w:pStyle w:val="ListBullet"/>
      </w:pPr>
      <w:r>
        <w:t>Solarstromversorgung (keine Netzanschluss)</w:t>
      </w:r>
    </w:p>
    <w:p>
      <w:pPr>
        <w:pStyle w:val="ListBullet"/>
      </w:pPr>
      <w:r>
        <w:t>Lautsprecheranlage (tagsuebers bis 20:00 Uhr; max. 65 dB am Gebäuderand)</w:t>
      </w:r>
    </w:p>
    <w:p/>
    <w:p>
      <w:pPr>
        <w:pStyle w:val="Heading2"/>
      </w:pPr>
      <w:r>
        <w:rPr>
          <w:rFonts w:ascii="Times New Roman" w:hAnsi="Times New Roman"/>
        </w:rPr>
        <w:t>II. Rechtliche Beratung</w:t>
      </w:r>
    </w:p>
    <w:p>
      <w:pPr>
        <w:pStyle w:val="Heading3"/>
      </w:pPr>
      <w:r>
        <w:rPr>
          <w:rFonts w:ascii="Times New Roman" w:hAnsi="Times New Roman"/>
        </w:rPr>
        <w:t>II.1 Erfolgsaussichten</w:t>
      </w:r>
    </w:p>
    <w:p>
      <w:pPr>
        <w:jc w:val="left"/>
      </w:pPr>
      <w:r>
        <w:t>Dr. Roosendaal-Eichmueller erläutert die Rechtslage: Die Verbotsverfügung ist nach vorläufiger Einschätzung rechtswidrig. Der Versammlungsbegriff des Art. 8 I GG erfasst das geplante Camp. Die Bannmeilenregelung des § 16 SaarlVersG kann ein Totalverbot ohne konkrete Gefährdungsnachweis nicht tragen. Das Totalverbot ist nicht verhaeltnismaessig (mildere Mittel vorhanden). Erfolgsaussichten der Verfassungsbeschwerde: gut bis sehr gut.</w:t>
      </w:r>
    </w:p>
    <w:p>
      <w:pPr>
        <w:pStyle w:val="Heading3"/>
      </w:pPr>
      <w:r>
        <w:rPr>
          <w:rFonts w:ascii="Times New Roman" w:hAnsi="Times New Roman"/>
        </w:rPr>
        <w:t>II.2 Strategie</w:t>
      </w:r>
    </w:p>
    <w:p>
      <w:pPr>
        <w:pStyle w:val="ListNumber"/>
      </w:pPr>
      <w:r>
        <w:t>Sofortiger Eilantrag VG Saarlouis (§ 80 V VwGO) — eingereicht noch heute</w:t>
      </w:r>
    </w:p>
    <w:p>
      <w:pPr>
        <w:pStyle w:val="ListNumber"/>
      </w:pPr>
      <w:r>
        <w:t>Bei Ablehnung: Beschwerde OVG Saarland (§ 146 VwGO) — sofort</w:t>
      </w:r>
    </w:p>
    <w:p>
      <w:pPr>
        <w:pStyle w:val="ListNumber"/>
      </w:pPr>
      <w:r>
        <w:t>Bei weiterem Misserfolg: Verfassungsbeschwerde + Eilantrag § 32 BVerfGG</w:t>
      </w:r>
    </w:p>
    <w:p>
      <w:pPr>
        <w:pStyle w:val="ListNumber"/>
      </w:pPr>
      <w:r>
        <w:t>Parallel: Medienarbeit zur Oeffentlichkeitsmobilisierung (→ Aktenstück 14)</w:t>
      </w:r>
    </w:p>
    <w:p>
      <w:pPr>
        <w:pStyle w:val="ListNumber"/>
      </w:pPr>
      <w:r>
        <w:t>Parallel: Strafrechtliche Verteidigung BF 2, 4, 5 (RA Schwingenstein)</w:t>
      </w:r>
    </w:p>
    <w:p>
      <w:pPr>
        <w:pStyle w:val="Heading3"/>
      </w:pPr>
      <w:r>
        <w:rPr>
          <w:rFonts w:ascii="Times New Roman" w:hAnsi="Times New Roman"/>
        </w:rPr>
        <w:t>II.3 Risiken</w:t>
      </w:r>
    </w:p>
    <w:p>
      <w:pPr>
        <w:pStyle w:val="ListBullet"/>
      </w:pPr>
      <w:r>
        <w:t>BVerfG könnte Eilantrag ablehnen — dann ist das Camp in seiner geplanten Form nicht mehr realisierbar. Feststellungsbeschwerde für die Grundsatzfrage bleibt wertvoll.</w:t>
      </w:r>
    </w:p>
    <w:p>
      <w:pPr>
        <w:pStyle w:val="ListBullet"/>
      </w:pPr>
      <w:r>
        <w:t>Strafverfahren könnte Glaubwürdigkeit der Initiative beeinträchtigen — sorgfältige Trennung von Zivilverfahren und Strafverfahren.</w:t>
      </w:r>
    </w:p>
    <w:p>
      <w:pPr>
        <w:pStyle w:val="ListBullet"/>
      </w:pPr>
      <w:r>
        <w:t>OVG-Beschluss könnte in kürzester Zeit kommen — Eilreaktion auf BVerfG-Ebene muss vorbereitet sein.</w:t>
      </w:r>
    </w:p>
    <w:p>
      <w:pPr>
        <w:pStyle w:val="Heading3"/>
      </w:pPr>
      <w:r>
        <w:rPr>
          <w:rFonts w:ascii="Times New Roman" w:hAnsi="Times New Roman"/>
        </w:rPr>
        <w:t>II.4 Kosten</w:t>
      </w:r>
    </w:p>
    <w:p>
      <w:pPr>
        <w:jc w:val="left"/>
      </w:pPr>
      <w:r>
        <w:t>Voraussichtliche Anwaltskosten:</w:t>
      </w:r>
    </w:p>
    <w:p>
      <w:pPr>
        <w:pStyle w:val="ListBullet"/>
      </w:pPr>
      <w:r>
        <w:t>Eilverfahren VG + OVG: ca. 2.500 EUR</w:t>
      </w:r>
    </w:p>
    <w:p>
      <w:pPr>
        <w:pStyle w:val="ListBullet"/>
      </w:pPr>
      <w:r>
        <w:t>Verfassungsbeschwerde + BVerfG-Eilantrag: ca. 6.000 EUR</w:t>
      </w:r>
    </w:p>
    <w:p>
      <w:pPr>
        <w:pStyle w:val="ListBullet"/>
      </w:pPr>
      <w:r>
        <w:t>Gesamt: ca. 8.500 EUR</w:t>
      </w:r>
    </w:p>
    <w:p>
      <w:pPr>
        <w:jc w:val="left"/>
      </w:pPr>
      <w:r>
        <w:t>Vorauszahlung: 5.000 EUR (bereits überwiesen, Eingang bestätigt 13.03.2026)</w:t>
      </w:r>
    </w:p>
    <w:p>
      <w:pPr>
        <w:jc w:val="left"/>
      </w:pPr>
      <w:r>
        <w:t>Restbetrag aus Spendensammlung zu decken (→ Aktenstück 19).</w:t>
      </w:r>
    </w:p>
    <w:p/>
    <w:p>
      <w:pPr>
        <w:pStyle w:val="Heading2"/>
      </w:pPr>
      <w:r>
        <w:rPr>
          <w:rFonts w:ascii="Times New Roman" w:hAnsi="Times New Roman"/>
        </w:rPr>
        <w:t>III. Beschlüsse</w:t>
      </w:r>
    </w:p>
    <w:tbl>
      <w:tblPr>
        <w:tblStyle w:val="TableGrid"/>
        <w:tblW w:type="auto" w:w="0"/>
        <w:tblLook w:firstColumn="1" w:firstRow="1" w:lastColumn="0" w:lastRow="0" w:noHBand="0" w:noVBand="1" w:val="04A0"/>
      </w:tblPr>
      <w:tblGrid>
        <w:gridCol w:w="3024"/>
        <w:gridCol w:w="3024"/>
        <w:gridCol w:w="3024"/>
      </w:tblGrid>
      <w:tr>
        <w:tc>
          <w:tcPr>
            <w:tcW w:type="dxa" w:w="3024"/>
          </w:tcPr>
          <w:p>
            <w:r>
              <w:rPr>
                <w:rFonts w:ascii="Times New Roman" w:hAnsi="Times New Roman"/>
                <w:b/>
                <w:sz w:val="20"/>
              </w:rPr>
              <w:t>Beschluss</w:t>
            </w:r>
          </w:p>
        </w:tc>
        <w:tc>
          <w:tcPr>
            <w:tcW w:type="dxa" w:w="3024"/>
          </w:tcPr>
          <w:p>
            <w:r>
              <w:rPr>
                <w:rFonts w:ascii="Times New Roman" w:hAnsi="Times New Roman"/>
                <w:b/>
                <w:sz w:val="20"/>
              </w:rPr>
              <w:t>Verantwortlich</w:t>
            </w:r>
          </w:p>
        </w:tc>
        <w:tc>
          <w:tcPr>
            <w:tcW w:type="dxa" w:w="3024"/>
          </w:tcPr>
          <w:p>
            <w:r>
              <w:rPr>
                <w:rFonts w:ascii="Times New Roman" w:hAnsi="Times New Roman"/>
                <w:b/>
                <w:sz w:val="20"/>
              </w:rPr>
              <w:t>Deadline</w:t>
            </w:r>
          </w:p>
        </w:tc>
      </w:tr>
      <w:tr>
        <w:tc>
          <w:tcPr>
            <w:tcW w:type="dxa" w:w="3024"/>
          </w:tcPr>
          <w:p>
            <w:r>
              <w:rPr>
                <w:rFonts w:ascii="Times New Roman" w:hAnsi="Times New Roman"/>
                <w:sz w:val="20"/>
              </w:rPr>
              <w:t>Eilantrag VG Saarlouis einreichen</w:t>
            </w:r>
          </w:p>
        </w:tc>
        <w:tc>
          <w:tcPr>
            <w:tcW w:type="dxa" w:w="3024"/>
          </w:tcPr>
          <w:p>
            <w:r>
              <w:rPr>
                <w:rFonts w:ascii="Times New Roman" w:hAnsi="Times New Roman"/>
                <w:sz w:val="20"/>
              </w:rPr>
              <w:t>Dr. Roosendaal-Eichmueller</w:t>
            </w:r>
          </w:p>
        </w:tc>
        <w:tc>
          <w:tcPr>
            <w:tcW w:type="dxa" w:w="3024"/>
          </w:tcPr>
          <w:p>
            <w:r>
              <w:rPr>
                <w:rFonts w:ascii="Times New Roman" w:hAnsi="Times New Roman"/>
                <w:sz w:val="20"/>
              </w:rPr>
              <w:t>13.03.2026, 12:00 Uhr</w:t>
            </w:r>
          </w:p>
        </w:tc>
      </w:tr>
      <w:tr>
        <w:tc>
          <w:tcPr>
            <w:tcW w:type="dxa" w:w="3024"/>
          </w:tcPr>
          <w:p>
            <w:r>
              <w:rPr>
                <w:rFonts w:ascii="Times New Roman" w:hAnsi="Times New Roman"/>
                <w:sz w:val="20"/>
              </w:rPr>
              <w:t>Vollmachten BF 2-15 unterzeichnen lassen</w:t>
            </w:r>
          </w:p>
        </w:tc>
        <w:tc>
          <w:tcPr>
            <w:tcW w:type="dxa" w:w="3024"/>
          </w:tcPr>
          <w:p>
            <w:r>
              <w:rPr>
                <w:rFonts w:ascii="Times New Roman" w:hAnsi="Times New Roman"/>
                <w:sz w:val="20"/>
              </w:rPr>
              <w:t>Steffenhagen (koordiniert)</w:t>
            </w:r>
          </w:p>
        </w:tc>
        <w:tc>
          <w:tcPr>
            <w:tcW w:type="dxa" w:w="3024"/>
          </w:tcPr>
          <w:p>
            <w:r>
              <w:rPr>
                <w:rFonts w:ascii="Times New Roman" w:hAnsi="Times New Roman"/>
                <w:sz w:val="20"/>
              </w:rPr>
              <w:t>13.03.2026, 14:00 Uhr</w:t>
            </w:r>
          </w:p>
        </w:tc>
      </w:tr>
      <w:tr>
        <w:tc>
          <w:tcPr>
            <w:tcW w:type="dxa" w:w="3024"/>
          </w:tcPr>
          <w:p>
            <w:r>
              <w:rPr>
                <w:rFonts w:ascii="Times New Roman" w:hAnsi="Times New Roman"/>
                <w:sz w:val="20"/>
              </w:rPr>
              <w:t>Versammlungskonzept als Anlage aufbereiten</w:t>
            </w:r>
          </w:p>
        </w:tc>
        <w:tc>
          <w:tcPr>
            <w:tcW w:type="dxa" w:w="3024"/>
          </w:tcPr>
          <w:p>
            <w:r>
              <w:rPr>
                <w:rFonts w:ascii="Times New Roman" w:hAnsi="Times New Roman"/>
                <w:sz w:val="20"/>
              </w:rPr>
              <w:t>Dreisbach-Möller</w:t>
            </w:r>
          </w:p>
        </w:tc>
        <w:tc>
          <w:tcPr>
            <w:tcW w:type="dxa" w:w="3024"/>
          </w:tcPr>
          <w:p>
            <w:r>
              <w:rPr>
                <w:rFonts w:ascii="Times New Roman" w:hAnsi="Times New Roman"/>
                <w:sz w:val="20"/>
              </w:rPr>
              <w:t>13.03.2026</w:t>
            </w:r>
          </w:p>
        </w:tc>
      </w:tr>
      <w:tr>
        <w:tc>
          <w:tcPr>
            <w:tcW w:type="dxa" w:w="3024"/>
          </w:tcPr>
          <w:p>
            <w:r>
              <w:rPr>
                <w:rFonts w:ascii="Times New Roman" w:hAnsi="Times New Roman"/>
                <w:sz w:val="20"/>
              </w:rPr>
              <w:t>Spendenaufruf Medialisierung</w:t>
            </w:r>
          </w:p>
        </w:tc>
        <w:tc>
          <w:tcPr>
            <w:tcW w:type="dxa" w:w="3024"/>
          </w:tcPr>
          <w:p>
            <w:r>
              <w:rPr>
                <w:rFonts w:ascii="Times New Roman" w:hAnsi="Times New Roman"/>
                <w:sz w:val="20"/>
              </w:rPr>
              <w:t>Tannenberg-Roosendaal</w:t>
            </w:r>
          </w:p>
        </w:tc>
        <w:tc>
          <w:tcPr>
            <w:tcW w:type="dxa" w:w="3024"/>
          </w:tcPr>
          <w:p>
            <w:r>
              <w:rPr>
                <w:rFonts w:ascii="Times New Roman" w:hAnsi="Times New Roman"/>
                <w:sz w:val="20"/>
              </w:rPr>
              <w:t>sofort</w:t>
            </w:r>
          </w:p>
        </w:tc>
      </w:tr>
      <w:tr>
        <w:tc>
          <w:tcPr>
            <w:tcW w:type="dxa" w:w="3024"/>
          </w:tcPr>
          <w:p>
            <w:r>
              <w:rPr>
                <w:rFonts w:ascii="Times New Roman" w:hAnsi="Times New Roman"/>
                <w:sz w:val="20"/>
              </w:rPr>
              <w:t>Pressemitteilung Initiative vorbereiten</w:t>
            </w:r>
          </w:p>
        </w:tc>
        <w:tc>
          <w:tcPr>
            <w:tcW w:type="dxa" w:w="3024"/>
          </w:tcPr>
          <w:p>
            <w:r>
              <w:rPr>
                <w:rFonts w:ascii="Times New Roman" w:hAnsi="Times New Roman"/>
                <w:sz w:val="20"/>
              </w:rPr>
              <w:t>Tannenberg-Roosendaal / Kanzlei</w:t>
            </w:r>
          </w:p>
        </w:tc>
        <w:tc>
          <w:tcPr>
            <w:tcW w:type="dxa" w:w="3024"/>
          </w:tcPr>
          <w:p>
            <w:r>
              <w:rPr>
                <w:rFonts w:ascii="Times New Roman" w:hAnsi="Times New Roman"/>
                <w:sz w:val="20"/>
              </w:rPr>
              <w:t>14.03.2026</w:t>
            </w:r>
          </w:p>
        </w:tc>
      </w:tr>
      <w:tr>
        <w:tc>
          <w:tcPr>
            <w:tcW w:type="dxa" w:w="3024"/>
          </w:tcPr>
          <w:p>
            <w:r>
              <w:rPr>
                <w:rFonts w:ascii="Times New Roman" w:hAnsi="Times New Roman"/>
                <w:sz w:val="20"/>
              </w:rPr>
              <w:t>Strafverteidigung BF 2, 4, 5</w:t>
            </w:r>
          </w:p>
        </w:tc>
        <w:tc>
          <w:tcPr>
            <w:tcW w:type="dxa" w:w="3024"/>
          </w:tcPr>
          <w:p>
            <w:r>
              <w:rPr>
                <w:rFonts w:ascii="Times New Roman" w:hAnsi="Times New Roman"/>
                <w:sz w:val="20"/>
              </w:rPr>
              <w:t>RA Schwingenstein</w:t>
            </w:r>
          </w:p>
        </w:tc>
        <w:tc>
          <w:tcPr>
            <w:tcW w:type="dxa" w:w="3024"/>
          </w:tcPr>
          <w:p>
            <w:r>
              <w:rPr>
                <w:rFonts w:ascii="Times New Roman" w:hAnsi="Times New Roman"/>
                <w:sz w:val="20"/>
              </w:rPr>
              <w:t>gesondertes Mandat</w:t>
            </w:r>
          </w:p>
        </w:tc>
      </w:tr>
      <w:tr>
        <w:tc>
          <w:tcPr>
            <w:tcW w:type="dxa" w:w="3024"/>
          </w:tcPr>
          <w:p>
            <w:r>
              <w:rPr>
                <w:rFonts w:ascii="Times New Roman" w:hAnsi="Times New Roman"/>
                <w:sz w:val="20"/>
              </w:rPr>
              <w:t>BVerfG-Unterlagen vorbereiten (Worst Case)</w:t>
            </w:r>
          </w:p>
        </w:tc>
        <w:tc>
          <w:tcPr>
            <w:tcW w:type="dxa" w:w="3024"/>
          </w:tcPr>
          <w:p>
            <w:r>
              <w:rPr>
                <w:rFonts w:ascii="Times New Roman" w:hAnsi="Times New Roman"/>
                <w:sz w:val="20"/>
              </w:rPr>
              <w:t>Dr. Roosendaal-Eichmueller</w:t>
            </w:r>
          </w:p>
        </w:tc>
        <w:tc>
          <w:tcPr>
            <w:tcW w:type="dxa" w:w="3024"/>
          </w:tcPr>
          <w:p>
            <w:r>
              <w:rPr>
                <w:rFonts w:ascii="Times New Roman" w:hAnsi="Times New Roman"/>
                <w:sz w:val="20"/>
              </w:rPr>
              <w:t>14.03.2026</w:t>
            </w:r>
          </w:p>
        </w:tc>
      </w:tr>
    </w:tbl>
    <w:p/>
    <w:p>
      <w:pPr>
        <w:pStyle w:val="Heading2"/>
      </w:pPr>
      <w:r>
        <w:rPr>
          <w:rFonts w:ascii="Times New Roman" w:hAnsi="Times New Roman"/>
        </w:rPr>
        <w:t>IV. Nächste Schritte (Zeitplan)</w:t>
      </w:r>
    </w:p>
    <w:tbl>
      <w:tblPr>
        <w:tblStyle w:val="TableGrid"/>
        <w:tblW w:type="auto" w:w="0"/>
        <w:tblLook w:firstColumn="1" w:firstRow="1" w:lastColumn="0" w:lastRow="0" w:noHBand="0" w:noVBand="1" w:val="04A0"/>
      </w:tblPr>
      <w:tblGrid>
        <w:gridCol w:w="4536"/>
        <w:gridCol w:w="4536"/>
      </w:tblGrid>
      <w:tr>
        <w:tc>
          <w:tcPr>
            <w:tcW w:type="dxa" w:w="4536"/>
          </w:tcPr>
          <w:p>
            <w:r>
              <w:rPr>
                <w:rFonts w:ascii="Times New Roman" w:hAnsi="Times New Roman"/>
                <w:b/>
                <w:sz w:val="20"/>
              </w:rPr>
              <w:t>Datum</w:t>
            </w:r>
          </w:p>
        </w:tc>
        <w:tc>
          <w:tcPr>
            <w:tcW w:type="dxa" w:w="4536"/>
          </w:tcPr>
          <w:p>
            <w:r>
              <w:rPr>
                <w:rFonts w:ascii="Times New Roman" w:hAnsi="Times New Roman"/>
                <w:b/>
                <w:sz w:val="20"/>
              </w:rPr>
              <w:t>Schritt</w:t>
            </w:r>
          </w:p>
        </w:tc>
      </w:tr>
      <w:tr>
        <w:tc>
          <w:tcPr>
            <w:tcW w:type="dxa" w:w="4536"/>
          </w:tcPr>
          <w:p>
            <w:r>
              <w:rPr>
                <w:rFonts w:ascii="Times New Roman" w:hAnsi="Times New Roman"/>
                <w:sz w:val="20"/>
              </w:rPr>
              <w:t>13.03.2026, 12:00</w:t>
            </w:r>
          </w:p>
        </w:tc>
        <w:tc>
          <w:tcPr>
            <w:tcW w:type="dxa" w:w="4536"/>
          </w:tcPr>
          <w:p>
            <w:r>
              <w:rPr>
                <w:rFonts w:ascii="Times New Roman" w:hAnsi="Times New Roman"/>
                <w:sz w:val="20"/>
              </w:rPr>
              <w:t>Eilantrag VG Saarlouis (§ 80 V VwGO) eingereicht</w:t>
            </w:r>
          </w:p>
        </w:tc>
      </w:tr>
      <w:tr>
        <w:tc>
          <w:tcPr>
            <w:tcW w:type="dxa" w:w="4536"/>
          </w:tcPr>
          <w:p>
            <w:r>
              <w:rPr>
                <w:rFonts w:ascii="Times New Roman" w:hAnsi="Times New Roman"/>
                <w:sz w:val="20"/>
              </w:rPr>
              <w:t>14.03.2026</w:t>
            </w:r>
          </w:p>
        </w:tc>
        <w:tc>
          <w:tcPr>
            <w:tcW w:type="dxa" w:w="4536"/>
          </w:tcPr>
          <w:p>
            <w:r>
              <w:rPr>
                <w:rFonts w:ascii="Times New Roman" w:hAnsi="Times New Roman"/>
                <w:sz w:val="20"/>
              </w:rPr>
              <w:t>VG-Entscheidung (erwartet)</w:t>
            </w:r>
          </w:p>
        </w:tc>
      </w:tr>
      <w:tr>
        <w:tc>
          <w:tcPr>
            <w:tcW w:type="dxa" w:w="4536"/>
          </w:tcPr>
          <w:p>
            <w:r>
              <w:rPr>
                <w:rFonts w:ascii="Times New Roman" w:hAnsi="Times New Roman"/>
                <w:sz w:val="20"/>
              </w:rPr>
              <w:t>14.03.2026, sofort nach VG</w:t>
            </w:r>
          </w:p>
        </w:tc>
        <w:tc>
          <w:tcPr>
            <w:tcW w:type="dxa" w:w="4536"/>
          </w:tcPr>
          <w:p>
            <w:r>
              <w:rPr>
                <w:rFonts w:ascii="Times New Roman" w:hAnsi="Times New Roman"/>
                <w:sz w:val="20"/>
              </w:rPr>
              <w:t>OVG-Beschwerde (§ 146 VwGO) falls nötig</w:t>
            </w:r>
          </w:p>
        </w:tc>
      </w:tr>
      <w:tr>
        <w:tc>
          <w:tcPr>
            <w:tcW w:type="dxa" w:w="4536"/>
          </w:tcPr>
          <w:p>
            <w:r>
              <w:rPr>
                <w:rFonts w:ascii="Times New Roman" w:hAnsi="Times New Roman"/>
                <w:sz w:val="20"/>
              </w:rPr>
              <w:t>15.03.2026</w:t>
            </w:r>
          </w:p>
        </w:tc>
        <w:tc>
          <w:tcPr>
            <w:tcW w:type="dxa" w:w="4536"/>
          </w:tcPr>
          <w:p>
            <w:r>
              <w:rPr>
                <w:rFonts w:ascii="Times New Roman" w:hAnsi="Times New Roman"/>
                <w:sz w:val="20"/>
              </w:rPr>
              <w:t>OVG-Entscheidung (erwartet)</w:t>
            </w:r>
          </w:p>
        </w:tc>
      </w:tr>
      <w:tr>
        <w:tc>
          <w:tcPr>
            <w:tcW w:type="dxa" w:w="4536"/>
          </w:tcPr>
          <w:p>
            <w:r>
              <w:rPr>
                <w:rFonts w:ascii="Times New Roman" w:hAnsi="Times New Roman"/>
                <w:sz w:val="20"/>
              </w:rPr>
              <w:t>16.03.2026, 07:00</w:t>
            </w:r>
          </w:p>
        </w:tc>
        <w:tc>
          <w:tcPr>
            <w:tcW w:type="dxa" w:w="4536"/>
          </w:tcPr>
          <w:p>
            <w:r>
              <w:rPr>
                <w:rFonts w:ascii="Times New Roman" w:hAnsi="Times New Roman"/>
                <w:sz w:val="20"/>
              </w:rPr>
              <w:t>Verfassungsbeschwerde + § 32-Eilantrag an BVerfG</w:t>
            </w:r>
          </w:p>
        </w:tc>
      </w:tr>
    </w:tbl>
    <w:p/>
    <w:p>
      <w:pPr>
        <w:jc w:val="left"/>
      </w:pPr>
      <w:r>
        <w:rPr>
          <w:i/>
        </w:rPr>
        <w:t>Protokoll erstellt von Dr. Roosendaal-Eichmueller. Von allen Anwesenden als korrekt bestätigt.</w:t>
      </w:r>
    </w:p>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