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Stellungnahme Ermittlungsverfahren StA Saarbruecken 188 Js 4711/26</w:t>
      </w:r>
    </w:p>
    <w:p>
      <w:pPr>
        <w:jc w:val="left"/>
      </w:pPr>
      <w:r>
        <w:rPr>
          <w:b/>
        </w:rPr>
        <w:t>Aktenzeichen StA:</w:t>
      </w:r>
      <w:r>
        <w:t xml:space="preserve"> 188 Js 4711/26</w:t>
      </w:r>
    </w:p>
    <w:p>
      <w:pPr>
        <w:jc w:val="left"/>
      </w:pPr>
      <w:r>
        <w:rPr>
          <w:b/>
        </w:rPr>
        <w:t>Beschuldigte:</w:t>
      </w:r>
      <w:r>
        <w:t xml:space="preserve"> Leon Steffenhagen (BF 2), Carla Hentschel (BF 4), Tobias Nathrath (BF 5), sowie Markus Pfeilstein (kein BF)</w:t>
      </w:r>
    </w:p>
    <w:p>
      <w:pPr>
        <w:jc w:val="left"/>
      </w:pPr>
      <w:r>
        <w:rPr>
          <w:b/>
        </w:rPr>
        <w:t>Vorwurf:</w:t>
      </w:r>
      <w:r>
        <w:t xml:space="preserve"> § 21 VersG — Durchführen einer verbotenen Versammlung</w:t>
      </w:r>
    </w:p>
    <w:p>
      <w:pPr>
        <w:jc w:val="left"/>
      </w:pPr>
      <w:r>
        <w:rPr>
          <w:b/>
        </w:rPr>
        <w:t>Datum Vorfall:</w:t>
      </w:r>
      <w:r>
        <w:t xml:space="preserve"> 15. März 2026 (Camp-Versuch)</w:t>
      </w:r>
    </w:p>
    <w:p>
      <w:pPr>
        <w:jc w:val="left"/>
      </w:pPr>
      <w:r>
        <w:rPr>
          <w:b/>
        </w:rPr>
        <w:t>Verteidiger:</w:t>
      </w:r>
      <w:r>
        <w:t xml:space="preserve"> RA Schwingenstein, Roosendaal Schwingenstein Partner, Saarbruecken</w:t>
      </w:r>
    </w:p>
    <w:p/>
    <w:p>
      <w:pPr>
        <w:pStyle w:val="Heading2"/>
      </w:pPr>
      <w:r>
        <w:rPr>
          <w:rFonts w:ascii="Times New Roman" w:hAnsi="Times New Roman"/>
        </w:rPr>
        <w:t>I. Sachverhalt</w:t>
      </w:r>
    </w:p>
    <w:p>
      <w:pPr>
        <w:jc w:val="left"/>
      </w:pPr>
      <w:r>
        <w:t>Am 15.03.2026 haben die o.g. Beschuldigten und ca. 20 weitere Personen versucht, auf dem Vorplatz des Saarländischen Landtags einen provisorischen Aufbau (2 Zelte, Informationsstand) als Vorwegnahme des für den 16.03.2026 angemeldeten Klimacamps zu errichten. Die Polizei hat den Aufbau nach ca. 45 Minuten gestoppt und Personalien aufgenommen. Die StA Saarbruecken hat mit Datum 16.03.2026 gegen die o.g. Personen Ermittlungen wegen § 21 VersG eingeleitet.</w:t>
      </w:r>
    </w:p>
    <w:p/>
    <w:p>
      <w:pPr>
        <w:pStyle w:val="Heading2"/>
      </w:pPr>
      <w:r>
        <w:rPr>
          <w:rFonts w:ascii="Times New Roman" w:hAnsi="Times New Roman"/>
        </w:rPr>
        <w:t>II. Rechtliche Würdigung durch die Kanzlei</w:t>
      </w:r>
    </w:p>
    <w:p>
      <w:pPr>
        <w:pStyle w:val="Heading3"/>
      </w:pPr>
      <w:r>
        <w:rPr>
          <w:rFonts w:ascii="Times New Roman" w:hAnsi="Times New Roman"/>
        </w:rPr>
        <w:t>II.1 Tatbestand § 21 VersG</w:t>
      </w:r>
    </w:p>
    <w:p>
      <w:pPr>
        <w:jc w:val="left"/>
      </w:pPr>
      <w:r>
        <w:t>§ 21 VersG lautet: „Wer in der Absicht, nicht verbotene Versammlungen oder Aufzüge zu verhindern oder zu sprengen oder sonst ihre Durchführung zu vereiteln, Gewalttätigkeiten vornimmt oder androht oder grobe Storungen verursacht, wird mit Freiheitsstrafe bis zu drei Jahren oder mit Geldstrafe bestraft."</w:t>
      </w:r>
    </w:p>
    <w:p>
      <w:pPr>
        <w:jc w:val="left"/>
      </w:pPr>
      <w:r>
        <w:rPr>
          <w:b/>
        </w:rPr>
        <w:t>Hinweis zur korrekten Norm:</w:t>
      </w:r>
      <w:r>
        <w:t xml:space="preserve"> Nach geltendem Bundesrecht (VersG Bund, gültig für die Länder, die kein eigenes Versammlungsgesetz haben) gibt § 29 I Nr. 2 VersG das Zuwiderhandeln gegen vollziehbare Verfügungen als Ordnungswidrigkeit an. Das Saarland hat ein eigenes Versammlungsgesetz (SaarlVersG). § 27 SaarlVersG regelt Zuwiderhandlungen gegen vollziehbare Verbotsverfügungen. Der Vorwurf lautet genauer auf § 27 SaarlVersG i.V.m. der Verbotsverfügung vom 12.03.2026.</w:t>
      </w:r>
    </w:p>
    <w:p>
      <w:pPr>
        <w:pStyle w:val="Heading3"/>
      </w:pPr>
      <w:r>
        <w:rPr>
          <w:rFonts w:ascii="Times New Roman" w:hAnsi="Times New Roman"/>
        </w:rPr>
        <w:t>II.2 Vollziehbarkeit der Verbotsverfügung</w:t>
      </w:r>
    </w:p>
    <w:p>
      <w:pPr>
        <w:jc w:val="left"/>
      </w:pPr>
      <w:r>
        <w:t>Die Verbotsverfügung des Stadtrechtsamts vom 12.03.2026 war am 15.03.2026 vollziehbar, da die sofortige Vollziehung angeordnet worden war (§ 80 II Nr. 4 VwGO) und der Eilantrag beim VG zum Zeitpunkt des Camp-Versuchs noch nicht entschieden war.</w:t>
      </w:r>
    </w:p>
    <w:p>
      <w:pPr>
        <w:jc w:val="left"/>
      </w:pPr>
      <w:r>
        <w:rPr>
          <w:b/>
        </w:rPr>
        <w:t>Rechtliches Problem:</w:t>
      </w:r>
      <w:r>
        <w:t xml:space="preserve"> Die Verbotsverfügung ist nach Auffassung der Verteidigung verfassungswidrig. Dies führt zur Frage, ob ein verfassungswidriger Verwaltungsakt strafbewehrt sein kann.</w:t>
      </w:r>
    </w:p>
    <w:p>
      <w:pPr>
        <w:pStyle w:val="Heading3"/>
      </w:pPr>
      <w:r>
        <w:rPr>
          <w:rFonts w:ascii="Times New Roman" w:hAnsi="Times New Roman"/>
        </w:rPr>
        <w:t>II.3 Verfassungswidrigkeit als Strafbarkeitsausschluss?</w:t>
      </w:r>
    </w:p>
    <w:p>
      <w:pPr>
        <w:jc w:val="left"/>
      </w:pPr>
      <w:r>
        <w:t>Wenn die Verbotsverfügung gegen Art. 8 I GG verstoesst (wie von der Kanzlei vorgetragen), stellt sich die Frage, ob eine Bestrafung nach § 27 SaarlVersG verfassungsrechtlich zulassig ist. Nach herrschender Meinung und BVerfG-Rechtsprechung (BVerfGE 87, 399 [411]) bleibt eine vollziehbare (auch rechtswidrige) Verbotsverfügung strafbewehrt, solange sie nicht aufgehoben ist. Dies entspricht dem Grundsatz der formellen Legalität.</w:t>
      </w:r>
    </w:p>
    <w:p>
      <w:pPr>
        <w:jc w:val="left"/>
      </w:pPr>
      <w:r>
        <w:t>Jedoch: Bei offensichtlicher Verfassungswidrigkeit eines Verbots kann dem Irrtumsargument (§ 17 StGB — Verbotsirrtum) besondere Bedeutung zukommen. Die Beschuldigten handelten in der Annahme, die Verbotsverfügung sei rechtswidrig — was nach den nun eingereichten Rechtsmitteln zumindest als begrundete Rechtsansicht zu qualifizieren ist.</w:t>
      </w:r>
    </w:p>
    <w:p>
      <w:pPr>
        <w:pStyle w:val="Heading3"/>
      </w:pPr>
      <w:r>
        <w:rPr>
          <w:rFonts w:ascii="Times New Roman" w:hAnsi="Times New Roman"/>
        </w:rPr>
        <w:t>II.4 Vorsatz</w:t>
      </w:r>
    </w:p>
    <w:p>
      <w:pPr>
        <w:jc w:val="left"/>
      </w:pPr>
      <w:r>
        <w:t>Zu prüfen ist, ob die Beschuldigten vorsätzlich gegen die Verbotsverfügung handelten. Das Ziel des Camp-Versuchs war die politische Meinungsaeusserung, nicht die bewusste Umgehung des Verbots. Dies könnte das Vorsatzelement beeinflussen.</w:t>
      </w:r>
    </w:p>
    <w:p/>
    <w:p>
      <w:pPr>
        <w:pStyle w:val="Heading2"/>
      </w:pPr>
      <w:r>
        <w:rPr>
          <w:rFonts w:ascii="Times New Roman" w:hAnsi="Times New Roman"/>
        </w:rPr>
        <w:t>III. Strategie Strafverteidigung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Massnahme</w:t>
            </w:r>
          </w:p>
        </w:tc>
        <w:tc>
          <w:tcPr>
            <w:tcW w:type="dxa" w:w="4536"/>
          </w:tcPr>
          <w:p>
            <w:r>
              <w:rPr>
                <w:rFonts w:ascii="Times New Roman" w:hAnsi="Times New Roman"/>
                <w:b/>
                <w:sz w:val="20"/>
              </w:rPr>
              <w:t>Zeithorizont</w:t>
            </w:r>
          </w:p>
        </w:tc>
      </w:tr>
      <w:tr>
        <w:tc>
          <w:tcPr>
            <w:tcW w:type="dxa" w:w="4536"/>
          </w:tcPr>
          <w:p>
            <w:r>
              <w:rPr>
                <w:rFonts w:ascii="Times New Roman" w:hAnsi="Times New Roman"/>
                <w:sz w:val="20"/>
              </w:rPr>
              <w:t>Akteneinsicht (§ 147 StPO)</w:t>
            </w:r>
          </w:p>
        </w:tc>
        <w:tc>
          <w:tcPr>
            <w:tcW w:type="dxa" w:w="4536"/>
          </w:tcPr>
          <w:p>
            <w:r>
              <w:rPr>
                <w:rFonts w:ascii="Times New Roman" w:hAnsi="Times New Roman"/>
                <w:sz w:val="20"/>
              </w:rPr>
              <w:t>sofort nach Mandatserteilung</w:t>
            </w:r>
          </w:p>
        </w:tc>
      </w:tr>
      <w:tr>
        <w:tc>
          <w:tcPr>
            <w:tcW w:type="dxa" w:w="4536"/>
          </w:tcPr>
          <w:p>
            <w:r>
              <w:rPr>
                <w:rFonts w:ascii="Times New Roman" w:hAnsi="Times New Roman"/>
                <w:sz w:val="20"/>
              </w:rPr>
              <w:t>Schweigen der Beschuldigten (§ 136 StPO)</w:t>
            </w:r>
          </w:p>
        </w:tc>
        <w:tc>
          <w:tcPr>
            <w:tcW w:type="dxa" w:w="4536"/>
          </w:tcPr>
          <w:p>
            <w:r>
              <w:rPr>
                <w:rFonts w:ascii="Times New Roman" w:hAnsi="Times New Roman"/>
                <w:sz w:val="20"/>
              </w:rPr>
              <w:t>empfohlen bis Akteneinsicht</w:t>
            </w:r>
          </w:p>
        </w:tc>
      </w:tr>
      <w:tr>
        <w:tc>
          <w:tcPr>
            <w:tcW w:type="dxa" w:w="4536"/>
          </w:tcPr>
          <w:p>
            <w:r>
              <w:rPr>
                <w:rFonts w:ascii="Times New Roman" w:hAnsi="Times New Roman"/>
                <w:sz w:val="20"/>
              </w:rPr>
              <w:t>Stellungnahme zur Einstellung nach § 170 II StPO</w:t>
            </w:r>
          </w:p>
        </w:tc>
        <w:tc>
          <w:tcPr>
            <w:tcW w:type="dxa" w:w="4536"/>
          </w:tcPr>
          <w:p>
            <w:r>
              <w:rPr>
                <w:rFonts w:ascii="Times New Roman" w:hAnsi="Times New Roman"/>
                <w:sz w:val="20"/>
              </w:rPr>
              <w:t>nach Akteneinsicht</w:t>
            </w:r>
          </w:p>
        </w:tc>
      </w:tr>
      <w:tr>
        <w:tc>
          <w:tcPr>
            <w:tcW w:type="dxa" w:w="4536"/>
          </w:tcPr>
          <w:p>
            <w:r>
              <w:rPr>
                <w:rFonts w:ascii="Times New Roman" w:hAnsi="Times New Roman"/>
                <w:sz w:val="20"/>
              </w:rPr>
              <w:t>Ggf. Argument Verbotsirrtum § 17 StGB</w:t>
            </w:r>
          </w:p>
        </w:tc>
        <w:tc>
          <w:tcPr>
            <w:tcW w:type="dxa" w:w="4536"/>
          </w:tcPr>
          <w:p>
            <w:r>
              <w:rPr>
                <w:rFonts w:ascii="Times New Roman" w:hAnsi="Times New Roman"/>
                <w:sz w:val="20"/>
              </w:rPr>
              <w:t>in Hauptsache</w:t>
            </w:r>
          </w:p>
        </w:tc>
      </w:tr>
      <w:tr>
        <w:tc>
          <w:tcPr>
            <w:tcW w:type="dxa" w:w="4536"/>
          </w:tcPr>
          <w:p>
            <w:r>
              <w:rPr>
                <w:rFonts w:ascii="Times New Roman" w:hAnsi="Times New Roman"/>
                <w:sz w:val="20"/>
              </w:rPr>
              <w:t>Koordination mit Verfassungsbeschwerdeverfahren</w:t>
            </w:r>
          </w:p>
        </w:tc>
        <w:tc>
          <w:tcPr>
            <w:tcW w:type="dxa" w:w="4536"/>
          </w:tcPr>
          <w:p>
            <w:r>
              <w:rPr>
                <w:rFonts w:ascii="Times New Roman" w:hAnsi="Times New Roman"/>
                <w:sz w:val="20"/>
              </w:rPr>
              <w:t>laufend</w:t>
            </w:r>
          </w:p>
        </w:tc>
      </w:tr>
    </w:tbl>
    <w:p/>
    <w:p>
      <w:pPr>
        <w:pStyle w:val="Heading2"/>
      </w:pPr>
      <w:r>
        <w:rPr>
          <w:rFonts w:ascii="Times New Roman" w:hAnsi="Times New Roman"/>
        </w:rPr>
        <w:t>IV. Wichtig: Trennungsgebot</w:t>
      </w:r>
    </w:p>
    <w:p>
      <w:pPr>
        <w:jc w:val="left"/>
      </w:pPr>
      <w:r>
        <w:t>Das Strafverfahren (§ 27 SaarlVersG) und das Verfassungsbeschwerdeverfahren (Art. 8 GG / BVerfGG) sind streng zu trennen:</w:t>
      </w:r>
    </w:p>
    <w:p>
      <w:pPr>
        <w:pStyle w:val="ListBullet"/>
      </w:pPr>
      <w:r>
        <w:t>Die Beschuldigten sind in beiden Verfahren identisch (teilweise), werden aber prozessual unterschiedlich behandelt.</w:t>
      </w:r>
    </w:p>
    <w:p>
      <w:pPr>
        <w:pStyle w:val="ListBullet"/>
      </w:pPr>
      <w:r>
        <w:t>Keine Aussagen in der Strafverteidigung, die das VB-Verfahren kompromittieren.</w:t>
      </w:r>
    </w:p>
    <w:p>
      <w:pPr>
        <w:pStyle w:val="ListBullet"/>
      </w:pPr>
      <w:r>
        <w:t>Pressemitteilungen müssen strafverfahrensrechtliche Gesichtspunkte beachten.</w:t>
      </w:r>
    </w:p>
    <w:p/>
    <w:p>
      <w:pPr>
        <w:pStyle w:val="Heading2"/>
      </w:pPr>
      <w:r>
        <w:rPr>
          <w:rFonts w:ascii="Times New Roman" w:hAnsi="Times New Roman"/>
        </w:rPr>
        <w:t>V. Koordination mit Verfassungsbeschwerde</w:t>
      </w:r>
    </w:p>
    <w:p>
      <w:pPr>
        <w:jc w:val="left"/>
      </w:pPr>
      <w:r>
        <w:t>Das Ermittlungsverfahren könnte — falls es zu einer Anklage kommt — seinerseits verfassungsrechtlich relevant werden: Eine Verurteilung wegen Zuwiderhandelns gegen ein verfassungswidriges Verbot wäre ihrerseits ein eigenständiger Grundrechtseingriff. Ggf. ergibt sich ein weiteres BVerfG-Verfahren.</w:t>
      </w:r>
    </w:p>
    <w:p>
      <w:pPr>
        <w:jc w:val="left"/>
      </w:pPr>
      <w:r>
        <w:rPr>
          <w:b/>
        </w:rPr>
        <w:t>Nächste Schritte (intern):</w:t>
      </w:r>
    </w:p>
    <w:p>
      <w:pPr>
        <w:pStyle w:val="ListBullet"/>
      </w:pPr>
      <w:r>
        <w:t>RA Schwingenstein: Akteneinsicht StA Saarbruecken 188 Js 4711/26</w:t>
      </w:r>
    </w:p>
    <w:p>
      <w:pPr>
        <w:pStyle w:val="ListBullet"/>
      </w:pPr>
      <w:r>
        <w:t>Koordinationsgespräch Dr. Roosendaal-Eichmueller / RA Schwingenstein: 20.03.2026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