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15 — Folgenabwaegung und Doppelhypothese (§ 32 BVerfGG)</w:t>
      </w:r>
    </w:p>
    <w:p>
      <w:pPr>
        <w:jc w:val="left"/>
      </w:pPr>
      <w:r>
        <w:rPr>
          <w:b/>
        </w:rPr>
        <w:t>Bearbeiter:</w:t>
      </w:r>
      <w:r>
        <w:t xml:space="preserve"> RA Dr. Roosendaal-Eichmueller / Prof. Dr. Birkenhain</w:t>
      </w:r>
    </w:p>
    <w:p>
      <w:pPr>
        <w:jc w:val="left"/>
      </w:pPr>
      <w:r>
        <w:rPr>
          <w:b/>
        </w:rPr>
        <w:t>Stand:</w:t>
      </w:r>
      <w:r>
        <w:t xml:space="preserve"> 16.03.2026</w:t>
      </w:r>
    </w:p>
    <w:p/>
    <w:p>
      <w:pPr>
        <w:pStyle w:val="Heading2"/>
      </w:pPr>
      <w:r>
        <w:rPr>
          <w:rFonts w:ascii="Times New Roman" w:hAnsi="Times New Roman"/>
        </w:rPr>
        <w:t>I. Rechtlicher Rahmen</w:t>
      </w:r>
    </w:p>
    <w:p>
      <w:pPr>
        <w:jc w:val="left"/>
      </w:pPr>
      <w:r>
        <w:t>Gemäß § 32 I BVerfGG kann das BVerfG einen Zustand durch einstweilige Anordnung vorläufig regeln, wenn dies zur Abwehr schwerer Nachteile, zur Verhinderung drohender Gewalt oder aus einem anderen wichtigen Grund zum gemeinen Wohl dringend geboten ist.</w:t>
      </w:r>
    </w:p>
    <w:p>
      <w:pPr>
        <w:jc w:val="left"/>
      </w:pPr>
      <w:r>
        <w:t xml:space="preserve">Das BVerfG prüft dabei in ständiger Rechtsprechung die sog. </w:t>
      </w:r>
      <w:r>
        <w:rPr>
          <w:b/>
        </w:rPr>
        <w:t>Doppelhypothese</w:t>
      </w:r>
      <w:r>
        <w:t>:</w:t>
      </w:r>
    </w:p>
    <w:p>
      <w:pPr>
        <w:ind w:left="567"/>
      </w:pPr>
      <w:r>
        <w:rPr>
          <w:i/>
        </w:rPr>
        <w:t>„Dabei sind die Nachteile, die einträten würden, wenn die einstweilige Anordnung nicht ergeht, die Verfassungsbeschwerde aber Erfolg hat, abzuwägen gegen die Nachteile, die entstünden, wenn die einstweilige Anordnung ergaenge, der Verfassungsbeschwerde aber der Erfolg versagt bliebe." (BVerfGE 104, 23 [26 f.]; BVerfGE 112, 284 [291 f.])</w:t>
      </w:r>
    </w:p>
    <w:p>
      <w:pPr>
        <w:jc w:val="left"/>
      </w:pPr>
      <w:r>
        <w:t>Entscheidend: Die Folgenabwaegung ersetzt keine Pruefung der Begrundetheit — bei offensichtlicher Begrundetheit oder Unbegrundetheit treten die Erfolgsaussichten in den Vordergrund.</w:t>
      </w:r>
    </w:p>
    <w:p/>
    <w:p>
      <w:pPr>
        <w:pStyle w:val="Heading2"/>
      </w:pPr>
      <w:r>
        <w:rPr>
          <w:rFonts w:ascii="Times New Roman" w:hAnsi="Times New Roman"/>
        </w:rPr>
        <w:t>II. Hypothese 1 — EA ergeht; Verfassungsbeschwerde hat später keinen Erfolg</w:t>
      </w:r>
    </w:p>
    <w:p>
      <w:pPr>
        <w:pStyle w:val="Heading3"/>
      </w:pPr>
      <w:r>
        <w:rPr>
          <w:rFonts w:ascii="Times New Roman" w:hAnsi="Times New Roman"/>
        </w:rPr>
        <w:t>II.1 Wirkung der EA</w:t>
      </w:r>
    </w:p>
    <w:p>
      <w:pPr>
        <w:jc w:val="left"/>
      </w:pPr>
      <w:r>
        <w:t>Das Klimacamp kann ab 16.03.2026 auf dem Landtagsvorplatz errichtet werden. Es läuft bis 30.04.2026 (46 Tage). Die Verbotsverfügung ist vorläufig ausser Vollzug gesetzt.</w:t>
      </w:r>
    </w:p>
    <w:p>
      <w:pPr>
        <w:pStyle w:val="Heading3"/>
      </w:pPr>
      <w:r>
        <w:rPr>
          <w:rFonts w:ascii="Times New Roman" w:hAnsi="Times New Roman"/>
        </w:rPr>
        <w:t>II.2 Folgen für die Beschwerdegegnerin (Saarbruecken / Saarland)</w:t>
      </w:r>
    </w:p>
    <w:p>
      <w:pPr>
        <w:pStyle w:val="ListBullet"/>
      </w:pPr>
      <w:r>
        <w:t>Der Parlamentsbetrieb des Saarländischen Landtags wird durch das Camp in seiner Nähe möglicherweise geringfügig beeinträchtigt (Lautstärke, Optik, Besucherstrom).</w:t>
      </w:r>
    </w:p>
    <w:p>
      <w:pPr>
        <w:pStyle w:val="ListBullet"/>
      </w:pPr>
      <w:r>
        <w:t>Das Versammlungskonzept sieht Massnahmen vor, die erhebliche Beeinträchtigungen verhindern (Zugangskorridore freihalten, Lautstaerkegrenzen).</w:t>
      </w:r>
    </w:p>
    <w:p>
      <w:pPr>
        <w:pStyle w:val="ListBullet"/>
      </w:pPr>
      <w:r>
        <w:t>Der Parlamentsbetrieb ist — nach Massabe der freiwilligen Auflagen — nicht in seiner Kernfunktion betroffen.</w:t>
      </w:r>
    </w:p>
    <w:p>
      <w:pPr>
        <w:pStyle w:val="ListBullet"/>
      </w:pPr>
      <w:r>
        <w:t>Schäden sind zeitlich begrenzt auf max. 46 Tage und räumlich auf den Vorplatz beschränkt.</w:t>
      </w:r>
    </w:p>
    <w:p>
      <w:pPr>
        <w:pStyle w:val="ListBullet"/>
      </w:pPr>
      <w:r>
        <w:t>Das Camp ist vollständig reversibel: Nach Ende (30.04.2026) hatten alle Folgen aufgehört.</w:t>
      </w:r>
    </w:p>
    <w:p>
      <w:pPr>
        <w:jc w:val="left"/>
      </w:pPr>
      <w:r>
        <w:rPr>
          <w:b/>
        </w:rPr>
        <w:t>Schwere der Nachteile (Hypothese 1): gering bis mittel; reversibel.</w:t>
      </w:r>
    </w:p>
    <w:p/>
    <w:p>
      <w:pPr>
        <w:pStyle w:val="Heading2"/>
      </w:pPr>
      <w:r>
        <w:rPr>
          <w:rFonts w:ascii="Times New Roman" w:hAnsi="Times New Roman"/>
        </w:rPr>
        <w:t>III. Hypothese 2 — EA ergeht nicht; Verfassungsbeschwerde hat später Erfolg</w:t>
      </w:r>
    </w:p>
    <w:p>
      <w:pPr>
        <w:pStyle w:val="Heading3"/>
      </w:pPr>
      <w:r>
        <w:rPr>
          <w:rFonts w:ascii="Times New Roman" w:hAnsi="Times New Roman"/>
        </w:rPr>
        <w:t>III.1 Wirkung ohne EA</w:t>
      </w:r>
    </w:p>
    <w:p>
      <w:pPr>
        <w:jc w:val="left"/>
      </w:pPr>
      <w:r>
        <w:t>Das Camp kann nicht stattfinden. Das Verbot bleibt vollziehbar. Der angemeldete Zeitraum (16.03.-30.04.2026) läuft ab, ohne dass ein Camp errichtet werden konnte.</w:t>
      </w:r>
    </w:p>
    <w:p>
      <w:pPr>
        <w:pStyle w:val="Heading3"/>
      </w:pPr>
      <w:r>
        <w:rPr>
          <w:rFonts w:ascii="Times New Roman" w:hAnsi="Times New Roman"/>
        </w:rPr>
        <w:t>III.2 Folgen für die Beschwerdeführer</w:t>
      </w:r>
    </w:p>
    <w:p>
      <w:pPr>
        <w:pStyle w:val="ListBullet"/>
      </w:pPr>
      <w:r>
        <w:rPr>
          <w:b/>
        </w:rPr>
        <w:t>Zeitlichkeit des politischen Protests:</w:t>
      </w:r>
      <w:r>
        <w:t xml:space="preserve"> Das Klimacamp war konzipiert als Protest zu den laufenden Beratungen des Energieförderungsgesetzes im Saarländischen Landtag (Plenarsitzungen: 17.03.-14.04.2026; 27.04.-30.04.2026). Nach Ende der Beratungen verliert der Protest seinen unmittelbaren politischen Bezug. Der Moment ist unwiederbringlich verloren.</w:t>
      </w:r>
    </w:p>
    <w:p>
      <w:pPr>
        <w:pStyle w:val="ListBullet"/>
      </w:pPr>
      <w:r>
        <w:rPr>
          <w:b/>
        </w:rPr>
        <w:t>Irreversibilität:</w:t>
      </w:r>
      <w:r>
        <w:t xml:space="preserve"> Eine spätere Feststellung der Verfassungswidrigkeit durch das BVerfG stellt das Camp nicht wieder her. Die Beschwerdeführer könnten moralisch rehabilitiert werden — der politische Ausdruck ist jedoch nicht nachzuholen.</w:t>
      </w:r>
    </w:p>
    <w:p>
      <w:pPr>
        <w:pStyle w:val="ListBullet"/>
      </w:pPr>
      <w:r>
        <w:rPr>
          <w:b/>
        </w:rPr>
        <w:t>Intensität:</w:t>
      </w:r>
      <w:r>
        <w:t xml:space="preserve"> Art. 8 I GG schützt nicht nur das abstrakte Recht zur Versammlung, sondern das konkrete Recht zur Versammlung zu einem bestimmten Zeitpunkt und an einem bestimmten Ort. Die Versammlungsfreiheit ist zeitgebunden und anlassgebunden; eine Verspätung entwertet sie.</w:t>
      </w:r>
    </w:p>
    <w:p>
      <w:pPr>
        <w:pStyle w:val="ListBullet"/>
      </w:pPr>
      <w:r>
        <w:rPr>
          <w:b/>
        </w:rPr>
        <w:t>Allgemeine Bedeutung:</w:t>
      </w:r>
      <w:r>
        <w:t xml:space="preserve"> Das Unterbleiben des Camps sendet eine negative Botschaft an zukünftige Klimaprotestbewegungen bundesweit: Dauerprotestcamps können durch sofort vollziehbare Verbote praventiv vereitelt werden.</w:t>
      </w:r>
    </w:p>
    <w:p>
      <w:pPr>
        <w:jc w:val="left"/>
      </w:pPr>
      <w:r>
        <w:rPr>
          <w:b/>
        </w:rPr>
        <w:t>Schwere der Nachteile (Hypothese 2): sehr hoch; nicht reversibel.</w:t>
      </w:r>
    </w:p>
    <w:p/>
    <w:p>
      <w:pPr>
        <w:pStyle w:val="Heading2"/>
      </w:pPr>
      <w:r>
        <w:rPr>
          <w:rFonts w:ascii="Times New Roman" w:hAnsi="Times New Roman"/>
        </w:rPr>
        <w:t>IV. Abwägungsergebnis</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Kriterium</w:t>
            </w:r>
          </w:p>
        </w:tc>
        <w:tc>
          <w:tcPr>
            <w:tcW w:type="dxa" w:w="3024"/>
          </w:tcPr>
          <w:p>
            <w:r>
              <w:rPr>
                <w:rFonts w:ascii="Times New Roman" w:hAnsi="Times New Roman"/>
                <w:b/>
                <w:sz w:val="20"/>
              </w:rPr>
              <w:t>Hypothese 1 (EA ergeht; VB scheitert)</w:t>
            </w:r>
          </w:p>
        </w:tc>
        <w:tc>
          <w:tcPr>
            <w:tcW w:type="dxa" w:w="3024"/>
          </w:tcPr>
          <w:p>
            <w:r>
              <w:rPr>
                <w:rFonts w:ascii="Times New Roman" w:hAnsi="Times New Roman"/>
                <w:b/>
                <w:sz w:val="20"/>
              </w:rPr>
              <w:t>Hypothese 2 (EA nicht; VB Erfolg)</w:t>
            </w:r>
          </w:p>
        </w:tc>
      </w:tr>
      <w:tr>
        <w:tc>
          <w:tcPr>
            <w:tcW w:type="dxa" w:w="3024"/>
          </w:tcPr>
          <w:p>
            <w:r>
              <w:rPr>
                <w:rFonts w:ascii="Times New Roman" w:hAnsi="Times New Roman"/>
                <w:sz w:val="20"/>
              </w:rPr>
              <w:t>Schwere der Nachteile</w:t>
            </w:r>
          </w:p>
        </w:tc>
        <w:tc>
          <w:tcPr>
            <w:tcW w:type="dxa" w:w="3024"/>
          </w:tcPr>
          <w:p>
            <w:r>
              <w:rPr>
                <w:rFonts w:ascii="Times New Roman" w:hAnsi="Times New Roman"/>
                <w:sz w:val="20"/>
              </w:rPr>
              <w:t>Gering bis mittel</w:t>
            </w:r>
          </w:p>
        </w:tc>
        <w:tc>
          <w:tcPr>
            <w:tcW w:type="dxa" w:w="3024"/>
          </w:tcPr>
          <w:p>
            <w:r>
              <w:rPr>
                <w:rFonts w:ascii="Times New Roman" w:hAnsi="Times New Roman"/>
                <w:sz w:val="20"/>
              </w:rPr>
              <w:t>Sehr hoch</w:t>
            </w:r>
          </w:p>
        </w:tc>
      </w:tr>
      <w:tr>
        <w:tc>
          <w:tcPr>
            <w:tcW w:type="dxa" w:w="3024"/>
          </w:tcPr>
          <w:p>
            <w:r>
              <w:rPr>
                <w:rFonts w:ascii="Times New Roman" w:hAnsi="Times New Roman"/>
                <w:sz w:val="20"/>
              </w:rPr>
              <w:t>Reversibilität</w:t>
            </w:r>
          </w:p>
        </w:tc>
        <w:tc>
          <w:tcPr>
            <w:tcW w:type="dxa" w:w="3024"/>
          </w:tcPr>
          <w:p>
            <w:r>
              <w:rPr>
                <w:rFonts w:ascii="Times New Roman" w:hAnsi="Times New Roman"/>
                <w:sz w:val="20"/>
              </w:rPr>
              <w:t>Vollständig reversibel</w:t>
            </w:r>
          </w:p>
        </w:tc>
        <w:tc>
          <w:tcPr>
            <w:tcW w:type="dxa" w:w="3024"/>
          </w:tcPr>
          <w:p>
            <w:r>
              <w:rPr>
                <w:rFonts w:ascii="Times New Roman" w:hAnsi="Times New Roman"/>
                <w:sz w:val="20"/>
              </w:rPr>
              <w:t>Irreversibel</w:t>
            </w:r>
          </w:p>
        </w:tc>
      </w:tr>
      <w:tr>
        <w:tc>
          <w:tcPr>
            <w:tcW w:type="dxa" w:w="3024"/>
          </w:tcPr>
          <w:p>
            <w:r>
              <w:rPr>
                <w:rFonts w:ascii="Times New Roman" w:hAnsi="Times New Roman"/>
                <w:sz w:val="20"/>
              </w:rPr>
              <w:t>Zeitlichkeit</w:t>
            </w:r>
          </w:p>
        </w:tc>
        <w:tc>
          <w:tcPr>
            <w:tcW w:type="dxa" w:w="3024"/>
          </w:tcPr>
          <w:p>
            <w:r>
              <w:rPr>
                <w:rFonts w:ascii="Times New Roman" w:hAnsi="Times New Roman"/>
                <w:sz w:val="20"/>
              </w:rPr>
              <w:t>Befristet auf 46 Tage</w:t>
            </w:r>
          </w:p>
        </w:tc>
        <w:tc>
          <w:tcPr>
            <w:tcW w:type="dxa" w:w="3024"/>
          </w:tcPr>
          <w:p>
            <w:r>
              <w:rPr>
                <w:rFonts w:ascii="Times New Roman" w:hAnsi="Times New Roman"/>
                <w:sz w:val="20"/>
              </w:rPr>
              <w:t>Dauerhaft (politischer Moment vertan)</w:t>
            </w:r>
          </w:p>
        </w:tc>
      </w:tr>
      <w:tr>
        <w:tc>
          <w:tcPr>
            <w:tcW w:type="dxa" w:w="3024"/>
          </w:tcPr>
          <w:p>
            <w:r>
              <w:rPr>
                <w:rFonts w:ascii="Times New Roman" w:hAnsi="Times New Roman"/>
                <w:sz w:val="20"/>
              </w:rPr>
              <w:t>Grundrechtsintensität</w:t>
            </w:r>
          </w:p>
        </w:tc>
        <w:tc>
          <w:tcPr>
            <w:tcW w:type="dxa" w:w="3024"/>
          </w:tcPr>
          <w:p>
            <w:r>
              <w:rPr>
                <w:rFonts w:ascii="Times New Roman" w:hAnsi="Times New Roman"/>
                <w:sz w:val="20"/>
              </w:rPr>
              <w:t>Gering (Art. 38 GG marginal betroffen)</w:t>
            </w:r>
          </w:p>
        </w:tc>
        <w:tc>
          <w:tcPr>
            <w:tcW w:type="dxa" w:w="3024"/>
          </w:tcPr>
          <w:p>
            <w:r>
              <w:rPr>
                <w:rFonts w:ascii="Times New Roman" w:hAnsi="Times New Roman"/>
                <w:sz w:val="20"/>
              </w:rPr>
              <w:t>Hoch (Art. 8 I GG vollständig vereitelt)</w:t>
            </w:r>
          </w:p>
        </w:tc>
      </w:tr>
      <w:tr>
        <w:tc>
          <w:tcPr>
            <w:tcW w:type="dxa" w:w="3024"/>
          </w:tcPr>
          <w:p>
            <w:r>
              <w:rPr>
                <w:rFonts w:ascii="Times New Roman" w:hAnsi="Times New Roman"/>
                <w:sz w:val="20"/>
              </w:rPr>
              <w:t>Allgemeinwohlaspekte</w:t>
            </w:r>
          </w:p>
        </w:tc>
        <w:tc>
          <w:tcPr>
            <w:tcW w:type="dxa" w:w="3024"/>
          </w:tcPr>
          <w:p>
            <w:r>
              <w:rPr>
                <w:rFonts w:ascii="Times New Roman" w:hAnsi="Times New Roman"/>
                <w:sz w:val="20"/>
              </w:rPr>
              <w:t>Kein wesentlicher Schaden für Parlamentsbetrieb</w:t>
            </w:r>
          </w:p>
        </w:tc>
        <w:tc>
          <w:tcPr>
            <w:tcW w:type="dxa" w:w="3024"/>
          </w:tcPr>
          <w:p>
            <w:r>
              <w:rPr>
                <w:rFonts w:ascii="Times New Roman" w:hAnsi="Times New Roman"/>
                <w:sz w:val="20"/>
              </w:rPr>
              <w:t>Präventive Vereiteling von Klimaprotesten</w:t>
            </w:r>
          </w:p>
        </w:tc>
      </w:tr>
    </w:tbl>
    <w:p>
      <w:pPr>
        <w:jc w:val="left"/>
      </w:pPr>
      <w:r>
        <w:rPr>
          <w:b/>
        </w:rPr>
        <w:t>Ergebnis:</w:t>
      </w:r>
      <w:r>
        <w:t xml:space="preserve"> Die Nachteile der Hypothese 2 überwiegen bei weitem. Die einstweilige Anordnung ist dringend geboten.</w:t>
      </w:r>
    </w:p>
    <w:p/>
    <w:p>
      <w:pPr>
        <w:pStyle w:val="Heading2"/>
      </w:pPr>
      <w:r>
        <w:rPr>
          <w:rFonts w:ascii="Times New Roman" w:hAnsi="Times New Roman"/>
        </w:rPr>
        <w:t>V. Ergänzung: Summarische Erfolgsaussichten</w:t>
      </w:r>
    </w:p>
    <w:p>
      <w:pPr>
        <w:jc w:val="left"/>
      </w:pPr>
      <w:r>
        <w:t>Ergänzend ist zu beachten: Die Verfassungsbeschwerde hat nach summarischer Pruefung gute Erfolgsaussichten (vgl. Aktenstück 05 und 07). Das BVerfG kann bei offensichtlicher Begrundetheit die Folgenabwaegung verkürzend anwenden. Vorliegend ist die Rechtslage klar und die Rechtswidrigkeit des Verbots nach den Masstaeben des BVerfG (Bruesen, Heiligendamm, Anti-AKW) gut begrundbar.</w:t>
      </w:r>
    </w:p>
    <w:p>
      <w:pPr>
        <w:jc w:val="left"/>
      </w:pPr>
      <w:r>
        <w:t>Das spricht dafür, bereits auf Ebene der Erfolgsaussichten — und nicht nur der Folgenabwaegung — für die einstweilige Anordnung zu argumentieren.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