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Bannmeile, Parlamentsschutz und praktische Konkordanz</w:t>
      </w:r>
    </w:p>
    <w:p>
      <w:pPr>
        <w:jc w:val="left"/>
      </w:pPr>
      <w:r>
        <w:rPr>
          <w:b/>
        </w:rPr>
        <w:t>Bearbeiter:</w:t>
      </w:r>
      <w:r>
        <w:t xml:space="preserve"> Prof. Dr. Birkenhain / RA Dr. Roosendaal-Eichmueller</w:t>
      </w:r>
    </w:p>
    <w:p>
      <w:pPr>
        <w:jc w:val="left"/>
      </w:pPr>
      <w:r>
        <w:rPr>
          <w:b/>
        </w:rPr>
        <w:t>Stand:</w:t>
      </w:r>
      <w:r>
        <w:t xml:space="preserve"> März 2026</w:t>
      </w:r>
    </w:p>
    <w:p/>
    <w:p>
      <w:pPr>
        <w:pStyle w:val="Heading2"/>
      </w:pPr>
      <w:r>
        <w:rPr>
          <w:rFonts w:ascii="Times New Roman" w:hAnsi="Times New Roman"/>
        </w:rPr>
        <w:t>I. Begriff und Normgrundlage Bannmeile</w:t>
      </w:r>
    </w:p>
    <w:p>
      <w:pPr>
        <w:jc w:val="left"/>
      </w:pPr>
      <w:r>
        <w:rPr>
          <w:b/>
        </w:rPr>
        <w:t>Begriff:</w:t>
      </w:r>
      <w:r>
        <w:t xml:space="preserve"> Eine Bannmeile (oder Schutzzone) ist ein gesetzlich definierter Bereich um Parlamentsgebäude, in dem Versammlungen unter freiem Himmel beschränkt oder verboten werden können.</w:t>
      </w:r>
    </w:p>
    <w:p>
      <w:pPr>
        <w:jc w:val="left"/>
      </w:pPr>
      <w:r>
        <w:rPr>
          <w:b/>
        </w:rPr>
        <w:t>Bundesrecht:</w:t>
      </w:r>
      <w:r>
        <w:t xml:space="preserve"> Der Bundestag ist durch das Gesetz über befriedete Bezirke für Verfassungsorgane des Bundes (BefBezG) vom 11.08.1999 geschützt.</w:t>
      </w:r>
    </w:p>
    <w:p>
      <w:pPr>
        <w:jc w:val="left"/>
      </w:pPr>
      <w:r>
        <w:rPr>
          <w:b/>
        </w:rPr>
        <w:t>Saarland:</w:t>
      </w:r>
      <w:r>
        <w:t xml:space="preserve"> § 16 SaarlVersG (Versammlungsgesetz des Saarlandes) regelt die Bannmeile des Saarländischen Landtags:</w:t>
      </w:r>
    </w:p>
    <w:p>
      <w:pPr>
        <w:ind w:left="567"/>
      </w:pPr>
      <w:r>
        <w:rPr>
          <w:i/>
        </w:rPr>
        <w:t>§ 16 SaarlVersG: „In einem Umkreis von 100 Metern um das Gebäude des Saarländischen Landtags ist es verboten, Versammlungen unter freiem Himmel abzuhalten, die geeignet sind, die Tätigkeit des Landtags zu beeinträchtigen."</w:t>
      </w:r>
    </w:p>
    <w:p/>
    <w:p>
      <w:pPr>
        <w:pStyle w:val="Heading2"/>
      </w:pPr>
      <w:r>
        <w:rPr>
          <w:rFonts w:ascii="Times New Roman" w:hAnsi="Times New Roman"/>
        </w:rPr>
        <w:t>II. Verfassungsrechtliche Einordnung der Bannmeilenregelung</w:t>
      </w:r>
    </w:p>
    <w:p>
      <w:pPr>
        <w:pStyle w:val="Heading3"/>
      </w:pPr>
      <w:r>
        <w:rPr>
          <w:rFonts w:ascii="Times New Roman" w:hAnsi="Times New Roman"/>
        </w:rPr>
        <w:t>II.1 Schranken-Schranken-Pruefung</w:t>
      </w:r>
    </w:p>
    <w:p>
      <w:pPr>
        <w:jc w:val="left"/>
      </w:pPr>
      <w:r>
        <w:t>§ 16 SaarlVersG ist eine Norm i.S.v. Art. 8 II GG (Schrankengesetz für Versammlungen unter freiem Himmel). Sie muss ihrerseits dem Verhaeltnismaessigkeitsgrundsatz genügen.</w:t>
      </w:r>
    </w:p>
    <w:p>
      <w:pPr>
        <w:pStyle w:val="Heading3"/>
      </w:pPr>
      <w:r>
        <w:rPr>
          <w:rFonts w:ascii="Times New Roman" w:hAnsi="Times New Roman"/>
        </w:rPr>
        <w:t>II.2 BVerfGE 104, 92 (Bannmeile Bundestag, 2002)</w:t>
      </w:r>
    </w:p>
    <w:p>
      <w:pPr>
        <w:jc w:val="left"/>
      </w:pPr>
      <w:r>
        <w:t>Das BVerfG hat 2002 das Bannmeilengesetz des Bundes (BefBezG) überprüft und wesentliche Masstaebe gesetzt:</w:t>
      </w:r>
    </w:p>
    <w:p>
      <w:pPr>
        <w:jc w:val="left"/>
      </w:pPr>
      <w:r>
        <w:rPr>
          <w:b/>
        </w:rPr>
        <w:t>Leitsatz:</w:t>
      </w:r>
      <w:r>
        <w:t xml:space="preserve"> Ein generelles Verbot aller Versammlungen in einem befriedeten Bezirk wäre mit Art. 8 GG unvereinbar. Die Norm ist nur verfassungskonform, wenn:</w:t>
      </w:r>
    </w:p>
    <w:p>
      <w:pPr>
        <w:pStyle w:val="ListNumber"/>
      </w:pPr>
      <w:r>
        <w:t>Sie hinreichend bestimmt ist (Normenklarheit).</w:t>
      </w:r>
    </w:p>
    <w:p>
      <w:pPr>
        <w:pStyle w:val="ListNumber"/>
      </w:pPr>
      <w:r>
        <w:t>Sie eine einzelfallbezogene Abwägung ermöglichst.</w:t>
      </w:r>
    </w:p>
    <w:p>
      <w:pPr>
        <w:pStyle w:val="ListNumber"/>
      </w:pPr>
      <w:r>
        <w:t>Nur konkret gefährdende — nicht bloss abstrakt mögliche — Beeinträchtigungen des Parlamentsbetriebs verboten werden können.</w:t>
      </w:r>
    </w:p>
    <w:p>
      <w:pPr>
        <w:jc w:val="left"/>
      </w:pPr>
      <w:r>
        <w:rPr>
          <w:b/>
        </w:rPr>
        <w:t>Quelle:</w:t>
      </w:r>
      <w:r>
        <w:t xml:space="preserve"> bundesverfassungsgericht.de</w:t>
      </w:r>
    </w:p>
    <w:p/>
    <w:p>
      <w:pPr>
        <w:pStyle w:val="Heading2"/>
      </w:pPr>
      <w:r>
        <w:rPr>
          <w:rFonts w:ascii="Times New Roman" w:hAnsi="Times New Roman"/>
        </w:rPr>
        <w:t>III. Art. 38 GG — Schutzgut des Parlamentsbetriebs</w:t>
      </w:r>
    </w:p>
    <w:p>
      <w:pPr>
        <w:jc w:val="left"/>
      </w:pPr>
      <w:r>
        <w:t>Art. 38 GG schuetzt die Arbeit des Deutschen Bundestages als Verfassungsorgan. Entsprechend schuetzt das Prinzip der Gewaltenteilung (Art. 20 II GG) die Funktionsfähigkeit aller Verfassungsorgane — auch der Landesparlamente.</w:t>
      </w:r>
    </w:p>
    <w:p>
      <w:pPr>
        <w:jc w:val="left"/>
      </w:pPr>
      <w:r>
        <w:t>Das Saarland hat als Bundesland ein eigenes Parlament (Saarländischer Landtag), dessen Schutz ebenfalls verfassungsrechtlich begründet ist — analog Art. 38 GG auf Landesebene.</w:t>
      </w:r>
    </w:p>
    <w:p>
      <w:pPr>
        <w:jc w:val="left"/>
      </w:pPr>
      <w:r>
        <w:rPr>
          <w:b/>
        </w:rPr>
        <w:t>Jedoch:</w:t>
      </w:r>
      <w:r>
        <w:t xml:space="preserve"> Der Schutz des Parlamentsbetriebs ist kein absolutes Recht. Er muss in praktischer Konkordanz mit der Versammlungsfreiheit des Art. 8 I GG abgewogen werden.</w:t>
      </w:r>
    </w:p>
    <w:p/>
    <w:p>
      <w:pPr>
        <w:pStyle w:val="Heading2"/>
      </w:pPr>
      <w:r>
        <w:rPr>
          <w:rFonts w:ascii="Times New Roman" w:hAnsi="Times New Roman"/>
        </w:rPr>
        <w:t>IV. Praktische Konkordanz: Art. 8 GG vs. Parlamentsschutz</w:t>
      </w:r>
    </w:p>
    <w:p>
      <w:pPr>
        <w:pStyle w:val="Heading3"/>
      </w:pPr>
      <w:r>
        <w:rPr>
          <w:rFonts w:ascii="Times New Roman" w:hAnsi="Times New Roman"/>
        </w:rPr>
        <w:t>IV.1 Methode</w:t>
      </w:r>
    </w:p>
    <w:p>
      <w:pPr>
        <w:jc w:val="left"/>
      </w:pPr>
      <w:r>
        <w:t>Praktische Konkordanz (Hesse/Lerche) bedeutet, dass beide Verfassungswerte so weit wie möglich zur Geltung gebracht werden, ohne einen vollständig zu opfern. Es geht um optimale Verhaeltnismaessigkeit, nicht um simple Rangfolge.</w:t>
      </w:r>
    </w:p>
    <w:p>
      <w:pPr>
        <w:pStyle w:val="Heading3"/>
      </w:pPr>
      <w:r>
        <w:rPr>
          <w:rFonts w:ascii="Times New Roman" w:hAnsi="Times New Roman"/>
        </w:rPr>
        <w:t>IV.2 Anwendung auf das Klimacamp</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Art. 8 I GG (Versammlungsfreiheit)</w:t>
            </w:r>
          </w:p>
        </w:tc>
        <w:tc>
          <w:tcPr>
            <w:tcW w:type="dxa" w:w="3024"/>
          </w:tcPr>
          <w:p>
            <w:r>
              <w:rPr>
                <w:rFonts w:ascii="Times New Roman" w:hAnsi="Times New Roman"/>
                <w:b/>
                <w:sz w:val="20"/>
              </w:rPr>
              <w:t>Parlamentsschutz</w:t>
            </w:r>
          </w:p>
        </w:tc>
      </w:tr>
      <w:tr>
        <w:tc>
          <w:tcPr>
            <w:tcW w:type="dxa" w:w="3024"/>
          </w:tcPr>
          <w:p>
            <w:r>
              <w:rPr>
                <w:rFonts w:ascii="Times New Roman" w:hAnsi="Times New Roman"/>
                <w:sz w:val="20"/>
              </w:rPr>
              <w:t>Interesse</w:t>
            </w:r>
          </w:p>
        </w:tc>
        <w:tc>
          <w:tcPr>
            <w:tcW w:type="dxa" w:w="3024"/>
          </w:tcPr>
          <w:p>
            <w:r>
              <w:rPr>
                <w:rFonts w:ascii="Times New Roman" w:hAnsi="Times New Roman"/>
                <w:sz w:val="20"/>
              </w:rPr>
              <w:t>Politischer Protest zu aktueller Gesetzgebung</w:t>
            </w:r>
          </w:p>
        </w:tc>
        <w:tc>
          <w:tcPr>
            <w:tcW w:type="dxa" w:w="3024"/>
          </w:tcPr>
          <w:p>
            <w:r>
              <w:rPr>
                <w:rFonts w:ascii="Times New Roman" w:hAnsi="Times New Roman"/>
                <w:sz w:val="20"/>
              </w:rPr>
              <w:t>Ungestörter Sitzungsbetrieb Landtag</w:t>
            </w:r>
          </w:p>
        </w:tc>
      </w:tr>
      <w:tr>
        <w:tc>
          <w:tcPr>
            <w:tcW w:type="dxa" w:w="3024"/>
          </w:tcPr>
          <w:p>
            <w:r>
              <w:rPr>
                <w:rFonts w:ascii="Times New Roman" w:hAnsi="Times New Roman"/>
                <w:sz w:val="20"/>
              </w:rPr>
              <w:t>Zeitbezug</w:t>
            </w:r>
          </w:p>
        </w:tc>
        <w:tc>
          <w:tcPr>
            <w:tcW w:type="dxa" w:w="3024"/>
          </w:tcPr>
          <w:p>
            <w:r>
              <w:rPr>
                <w:rFonts w:ascii="Times New Roman" w:hAnsi="Times New Roman"/>
                <w:sz w:val="20"/>
              </w:rPr>
              <w:t>Parallel zu Plenarsitzungswochen: hoch schutzwürdig</w:t>
            </w:r>
          </w:p>
        </w:tc>
        <w:tc>
          <w:tcPr>
            <w:tcW w:type="dxa" w:w="3024"/>
          </w:tcPr>
          <w:p>
            <w:r>
              <w:rPr>
                <w:rFonts w:ascii="Times New Roman" w:hAnsi="Times New Roman"/>
                <w:sz w:val="20"/>
              </w:rPr>
              <w:t>Nur während Sitzungszeiten relevant</w:t>
            </w:r>
          </w:p>
        </w:tc>
      </w:tr>
      <w:tr>
        <w:tc>
          <w:tcPr>
            <w:tcW w:type="dxa" w:w="3024"/>
          </w:tcPr>
          <w:p>
            <w:r>
              <w:rPr>
                <w:rFonts w:ascii="Times New Roman" w:hAnsi="Times New Roman"/>
                <w:sz w:val="20"/>
              </w:rPr>
              <w:t>Intensität</w:t>
            </w:r>
          </w:p>
        </w:tc>
        <w:tc>
          <w:tcPr>
            <w:tcW w:type="dxa" w:w="3024"/>
          </w:tcPr>
          <w:p>
            <w:r>
              <w:rPr>
                <w:rFonts w:ascii="Times New Roman" w:hAnsi="Times New Roman"/>
                <w:sz w:val="20"/>
              </w:rPr>
              <w:t>Dauercamp als Form des Dauerdialogs</w:t>
            </w:r>
          </w:p>
        </w:tc>
        <w:tc>
          <w:tcPr>
            <w:tcW w:type="dxa" w:w="3024"/>
          </w:tcPr>
          <w:p>
            <w:r>
              <w:rPr>
                <w:rFonts w:ascii="Times New Roman" w:hAnsi="Times New Roman"/>
                <w:sz w:val="20"/>
              </w:rPr>
              <w:t>Lärm, Optik, Zugangsbehinderung</w:t>
            </w:r>
          </w:p>
        </w:tc>
      </w:tr>
      <w:tr>
        <w:tc>
          <w:tcPr>
            <w:tcW w:type="dxa" w:w="3024"/>
          </w:tcPr>
          <w:p>
            <w:r>
              <w:rPr>
                <w:rFonts w:ascii="Times New Roman" w:hAnsi="Times New Roman"/>
                <w:sz w:val="20"/>
              </w:rPr>
              <w:t>Moeglickeit der Konkordanz</w:t>
            </w:r>
          </w:p>
        </w:tc>
        <w:tc>
          <w:tcPr>
            <w:tcW w:type="dxa" w:w="3024"/>
          </w:tcPr>
          <w:p>
            <w:r>
              <w:rPr>
                <w:rFonts w:ascii="Times New Roman" w:hAnsi="Times New Roman"/>
                <w:sz w:val="20"/>
              </w:rPr>
              <w:t>Hoch: Auflagen können Kollision minimieren</w:t>
            </w:r>
          </w:p>
        </w:tc>
        <w:tc>
          <w:tcPr>
            <w:tcW w:type="dxa" w:w="3024"/>
          </w:tcPr>
          <w:p>
            <w:r>
              <w:rPr>
                <w:rFonts w:ascii="Times New Roman" w:hAnsi="Times New Roman"/>
                <w:sz w:val="20"/>
              </w:rPr>
              <w:t>Auflagen reichen aus (Lautstärke, Korridor)</w:t>
            </w:r>
          </w:p>
        </w:tc>
      </w:tr>
    </w:tbl>
    <w:p>
      <w:pPr>
        <w:pStyle w:val="Heading3"/>
      </w:pPr>
      <w:r>
        <w:rPr>
          <w:rFonts w:ascii="Times New Roman" w:hAnsi="Times New Roman"/>
        </w:rPr>
        <w:t>IV.3 Ergebnis Praktische Konkordanz</w:t>
      </w:r>
    </w:p>
    <w:p>
      <w:pPr>
        <w:jc w:val="left"/>
      </w:pPr>
      <w:r>
        <w:t>Ein vollständiges Totalverbot ist mit dem Gebot der praktischen Konkordanz nicht vereinbar. Durch Auflagen (Lautstaerkegrenzen, Zugangskorridore, Zeltbeschränkungen) kann die Versammlungsfreiheit weitgehend gewahrt und gleichzeitig der Parlamentsbetrieb ausreichend geschützt werden. Die Verfügung des Stadtrechtsamts hat diese Abwägung unterlassen.</w:t>
      </w:r>
    </w:p>
    <w:p/>
    <w:p>
      <w:pPr>
        <w:pStyle w:val="Heading2"/>
      </w:pPr>
      <w:r>
        <w:rPr>
          <w:rFonts w:ascii="Times New Roman" w:hAnsi="Times New Roman"/>
        </w:rPr>
        <w:t>V. Vergleich: Bundesbannmeile und Saarländische Bannmeile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Bundesebene (BefBezG)</w:t>
            </w:r>
          </w:p>
        </w:tc>
        <w:tc>
          <w:tcPr>
            <w:tcW w:type="dxa" w:w="3024"/>
          </w:tcPr>
          <w:p>
            <w:r>
              <w:rPr>
                <w:rFonts w:ascii="Times New Roman" w:hAnsi="Times New Roman"/>
                <w:b/>
                <w:sz w:val="20"/>
              </w:rPr>
              <w:t>Saarland (§ 16 SaarlVersG)</w:t>
            </w:r>
          </w:p>
        </w:tc>
      </w:tr>
      <w:tr>
        <w:tc>
          <w:tcPr>
            <w:tcW w:type="dxa" w:w="3024"/>
          </w:tcPr>
          <w:p>
            <w:r>
              <w:rPr>
                <w:rFonts w:ascii="Times New Roman" w:hAnsi="Times New Roman"/>
                <w:sz w:val="20"/>
              </w:rPr>
              <w:t>Radius</w:t>
            </w:r>
          </w:p>
        </w:tc>
        <w:tc>
          <w:tcPr>
            <w:tcW w:type="dxa" w:w="3024"/>
          </w:tcPr>
          <w:p>
            <w:r>
              <w:rPr>
                <w:rFonts w:ascii="Times New Roman" w:hAnsi="Times New Roman"/>
                <w:sz w:val="20"/>
              </w:rPr>
              <w:t>Unterschiedlich (Bundestag ca. 200 m)</w:t>
            </w:r>
          </w:p>
        </w:tc>
        <w:tc>
          <w:tcPr>
            <w:tcW w:type="dxa" w:w="3024"/>
          </w:tcPr>
          <w:p>
            <w:r>
              <w:rPr>
                <w:rFonts w:ascii="Times New Roman" w:hAnsi="Times New Roman"/>
                <w:sz w:val="20"/>
              </w:rPr>
              <w:t>100 m</w:t>
            </w:r>
          </w:p>
        </w:tc>
      </w:tr>
      <w:tr>
        <w:tc>
          <w:tcPr>
            <w:tcW w:type="dxa" w:w="3024"/>
          </w:tcPr>
          <w:p>
            <w:r>
              <w:rPr>
                <w:rFonts w:ascii="Times New Roman" w:hAnsi="Times New Roman"/>
                <w:sz w:val="20"/>
              </w:rPr>
              <w:t>Verbotstatbestand</w:t>
            </w:r>
          </w:p>
        </w:tc>
        <w:tc>
          <w:tcPr>
            <w:tcW w:type="dxa" w:w="3024"/>
          </w:tcPr>
          <w:p>
            <w:r>
              <w:rPr>
                <w:rFonts w:ascii="Times New Roman" w:hAnsi="Times New Roman"/>
                <w:sz w:val="20"/>
              </w:rPr>
              <w:t>Konkrete Beeinträchtigung (nach BVerfGE 104, 92)</w:t>
            </w:r>
          </w:p>
        </w:tc>
        <w:tc>
          <w:tcPr>
            <w:tcW w:type="dxa" w:w="3024"/>
          </w:tcPr>
          <w:p>
            <w:r>
              <w:rPr>
                <w:rFonts w:ascii="Times New Roman" w:hAnsi="Times New Roman"/>
                <w:sz w:val="20"/>
              </w:rPr>
              <w:t>Geeignetheit zur Beeinträchtigung</w:t>
            </w:r>
          </w:p>
        </w:tc>
      </w:tr>
      <w:tr>
        <w:tc>
          <w:tcPr>
            <w:tcW w:type="dxa" w:w="3024"/>
          </w:tcPr>
          <w:p>
            <w:r>
              <w:rPr>
                <w:rFonts w:ascii="Times New Roman" w:hAnsi="Times New Roman"/>
                <w:sz w:val="20"/>
              </w:rPr>
              <w:t>Einzelfallprüfung</w:t>
            </w:r>
          </w:p>
        </w:tc>
        <w:tc>
          <w:tcPr>
            <w:tcW w:type="dxa" w:w="3024"/>
          </w:tcPr>
          <w:p>
            <w:r>
              <w:rPr>
                <w:rFonts w:ascii="Times New Roman" w:hAnsi="Times New Roman"/>
                <w:sz w:val="20"/>
              </w:rPr>
              <w:t>Verfassungsrechtlich geboten</w:t>
            </w:r>
          </w:p>
        </w:tc>
        <w:tc>
          <w:tcPr>
            <w:tcW w:type="dxa" w:w="3024"/>
          </w:tcPr>
          <w:p>
            <w:r>
              <w:rPr>
                <w:rFonts w:ascii="Times New Roman" w:hAnsi="Times New Roman"/>
                <w:sz w:val="20"/>
              </w:rPr>
              <w:t>Entsprechend anzuwenden</w:t>
            </w:r>
          </w:p>
        </w:tc>
      </w:tr>
      <w:tr>
        <w:tc>
          <w:tcPr>
            <w:tcW w:type="dxa" w:w="3024"/>
          </w:tcPr>
          <w:p>
            <w:r>
              <w:rPr>
                <w:rFonts w:ascii="Times New Roman" w:hAnsi="Times New Roman"/>
                <w:sz w:val="20"/>
              </w:rPr>
              <w:t>Ausnahmen</w:t>
            </w:r>
          </w:p>
        </w:tc>
        <w:tc>
          <w:tcPr>
            <w:tcW w:type="dxa" w:w="3024"/>
          </w:tcPr>
          <w:p>
            <w:r>
              <w:rPr>
                <w:rFonts w:ascii="Times New Roman" w:hAnsi="Times New Roman"/>
                <w:sz w:val="20"/>
              </w:rPr>
              <w:t>Möglich durch Genehmigung</w:t>
            </w:r>
          </w:p>
        </w:tc>
        <w:tc>
          <w:tcPr>
            <w:tcW w:type="dxa" w:w="3024"/>
          </w:tcPr>
          <w:p>
            <w:r>
              <w:rPr>
                <w:rFonts w:ascii="Times New Roman" w:hAnsi="Times New Roman"/>
                <w:sz w:val="20"/>
              </w:rPr>
              <w:t>Keine explizite Ausnahmeregelung (problematisch)</w:t>
            </w:r>
          </w:p>
        </w:tc>
      </w:tr>
    </w:tbl>
    <w:p>
      <w:pPr>
        <w:jc w:val="left"/>
      </w:pPr>
      <w:r>
        <w:rPr>
          <w:b/>
        </w:rPr>
        <w:t>Problem § 16 SaarlVersG:</w:t>
      </w:r>
      <w:r>
        <w:t xml:space="preserve"> Der Tatbestand „geeignet sind, die Tätigkeit des Landtags zu beeinträchtigen" ist weiter als „konkrete Beeinträchtigung" und fällt daher hinter den vom BVerfG für das BefBezG gesetzten Massstab zurück. Die Norm muss verfassungskonform ausgelegt werden: „geeignet" ist zu lesen als „konkret geeignet und mit hinreichender Wahrscheinlichkeit".</w:t>
      </w:r>
    </w:p>
    <w:p/>
    <w:p>
      <w:pPr>
        <w:pStyle w:val="Heading2"/>
      </w:pPr>
      <w:r>
        <w:rPr>
          <w:rFonts w:ascii="Times New Roman" w:hAnsi="Times New Roman"/>
        </w:rPr>
        <w:t>VI. Zwischenergebnis</w:t>
      </w:r>
    </w:p>
    <w:p>
      <w:pPr>
        <w:jc w:val="left"/>
      </w:pPr>
      <w:r>
        <w:t>§ 16 SaarlVersG ist verfassungskonform eng auszulegen. Die Verbotsverfügung des Stadtrechtsamts hat diesen Massstab nicht angelegt — sie hat die Norm weit angewandt und keinerlei Auflagen erwaogen. Dies verstosst gegen Art. 8 I GG und Art. 20 III GG (Gesetzesbindung, Verhaeltnismaessigkeit).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