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Times New Roman" w:hAnsi="Times New Roman"/>
        </w:rPr>
        <w:t>18 — Pruefung milderer Mittel — Auflagenalternativen zum Totalverbot</w:t>
      </w:r>
    </w:p>
    <w:p>
      <w:pPr>
        <w:jc w:val="left"/>
      </w:pPr>
      <w:r>
        <w:rPr>
          <w:b/>
        </w:rPr>
        <w:t>Bearbeiter:</w:t>
      </w:r>
      <w:r>
        <w:t xml:space="preserve"> RA Dr. Roosendaal-Eichmueller</w:t>
      </w:r>
    </w:p>
    <w:p>
      <w:pPr>
        <w:jc w:val="left"/>
      </w:pPr>
      <w:r>
        <w:rPr>
          <w:b/>
        </w:rPr>
        <w:t>Stand:</w:t>
      </w:r>
      <w:r>
        <w:t xml:space="preserve"> 15.03.2026</w:t>
      </w:r>
    </w:p>
    <w:p/>
    <w:p>
      <w:pPr>
        <w:pStyle w:val="Heading2"/>
      </w:pPr>
      <w:r>
        <w:rPr>
          <w:rFonts w:ascii="Times New Roman" w:hAnsi="Times New Roman"/>
        </w:rPr>
        <w:t>I. Rechtlicher Massstab</w:t>
      </w:r>
    </w:p>
    <w:p>
      <w:pPr>
        <w:jc w:val="left"/>
      </w:pPr>
      <w:r>
        <w:t xml:space="preserve">Das Verhaaltnismaessigkeitsprinzip im Rahmen der Grundrechtsprüfung verlangt, dass ein Eingriff in Art. 8 I GG nicht nur einem legitimen Zweck dient und geeignet ist, diesen zu erreichen, sondern auch </w:t>
      </w:r>
      <w:r>
        <w:rPr>
          <w:b/>
        </w:rPr>
        <w:t>erforderlich</w:t>
      </w:r>
      <w:r>
        <w:t xml:space="preserve"> ist: Es darf kein gleichermassen geeignetes milderes Mittel geben.</w:t>
      </w:r>
    </w:p>
    <w:p>
      <w:pPr>
        <w:jc w:val="left"/>
      </w:pPr>
      <w:r>
        <w:t>Die Bundesbehörde und die Gerichte haben die Pflicht, mildere Mittel von Amts wegen zu erwagen (BVerfGE 69, 315 [362 f.]; BVerfG 1 BvR 1690/15). Es ist nicht ausreichend, wenn die Behörde lediglich feststellt, dass ein Verbot die sicherste Massnahme wäre.</w:t>
      </w:r>
    </w:p>
    <w:p/>
    <w:p>
      <w:pPr>
        <w:pStyle w:val="Heading2"/>
      </w:pPr>
      <w:r>
        <w:rPr>
          <w:rFonts w:ascii="Times New Roman" w:hAnsi="Times New Roman"/>
        </w:rPr>
        <w:t>II. Identifizierte mildere Mittel</w:t>
      </w:r>
    </w:p>
    <w:p>
      <w:pPr>
        <w:pStyle w:val="Heading3"/>
      </w:pPr>
      <w:r>
        <w:rPr>
          <w:rFonts w:ascii="Times New Roman" w:hAnsi="Times New Roman"/>
        </w:rPr>
        <w:t>Mittel 1: Räumliche Beschränkung des Campbereichs</w:t>
      </w:r>
    </w:p>
    <w:p>
      <w:pPr>
        <w:jc w:val="left"/>
      </w:pPr>
      <w:r>
        <w:rPr>
          <w:b/>
        </w:rPr>
        <w:t>Beschreibung:</w:t>
      </w:r>
      <w:r>
        <w:t xml:space="preserve"> Das Camp wird auf einen Teilbereich des Landtagsvorplatzes begrenzt, der nicht die unmittelbare Nähe des Haupteingangs umfasst. Alternativ könnte der Camp-Bereich auf den seitlichen oder rückwärtigen Bereich des Vorplatzes beschränkt werden (Abstand zum Gebaude mind. 15 m).</w:t>
      </w:r>
    </w:p>
    <w:p>
      <w:pPr>
        <w:jc w:val="left"/>
      </w:pPr>
      <w:r>
        <w:rPr>
          <w:b/>
        </w:rPr>
        <w:t>Geeignetheit:</w:t>
      </w:r>
      <w:r>
        <w:t xml:space="preserve"> Schutzt den unmittelbaren Zugang zum Parlamentsgebaude (+).</w:t>
      </w:r>
    </w:p>
    <w:p>
      <w:pPr>
        <w:jc w:val="left"/>
      </w:pPr>
      <w:r>
        <w:rPr>
          <w:b/>
        </w:rPr>
        <w:t>Wirkung auf Versammlungsfreiheit:</w:t>
      </w:r>
      <w:r>
        <w:t xml:space="preserve"> Geringe Beeinträchtigung — der Protest ist weiterhin sichtbar und offentlich wirksam.</w:t>
      </w:r>
    </w:p>
    <w:p>
      <w:pPr>
        <w:jc w:val="left"/>
      </w:pPr>
      <w:r>
        <w:rPr>
          <w:b/>
        </w:rPr>
        <w:t>Ergebnis:</w:t>
      </w:r>
      <w:r>
        <w:t xml:space="preserve"> Gleich geeignet wie Totalverbot für Kernschutzgut (+); milderess Mittel (+).</w:t>
      </w:r>
    </w:p>
    <w:p/>
    <w:p>
      <w:pPr>
        <w:pStyle w:val="Heading3"/>
      </w:pPr>
      <w:r>
        <w:rPr>
          <w:rFonts w:ascii="Times New Roman" w:hAnsi="Times New Roman"/>
        </w:rPr>
        <w:t>Mittel 2: Zeitliche Einschränkung der Lautsprecheranlage</w:t>
      </w:r>
    </w:p>
    <w:p>
      <w:pPr>
        <w:jc w:val="left"/>
      </w:pPr>
      <w:r>
        <w:rPr>
          <w:b/>
        </w:rPr>
        <w:t>Beschreibung:</w:t>
      </w:r>
      <w:r>
        <w:t xml:space="preserve"> Die Lautsprecheranlage darf nur ausserhalb der Plenarsitzungszeiten in voller Lautstärke betrieben werden. Während Sitzungszeiten: max. 50 dB(A) am Gebäuderand. Nach 22:00 Uhr keine Beschallung.</w:t>
      </w:r>
    </w:p>
    <w:p>
      <w:pPr>
        <w:jc w:val="left"/>
      </w:pPr>
      <w:r>
        <w:rPr>
          <w:b/>
        </w:rPr>
        <w:t>Geeignetheit:</w:t>
      </w:r>
      <w:r>
        <w:t xml:space="preserve"> Verhindert Störung der Plenarsitzungen (+).</w:t>
      </w:r>
    </w:p>
    <w:p>
      <w:pPr>
        <w:jc w:val="left"/>
      </w:pPr>
      <w:r>
        <w:rPr>
          <w:b/>
        </w:rPr>
        <w:t>Wirkung auf Versammlungsfreiheit:</w:t>
      </w:r>
      <w:r>
        <w:t xml:space="preserve"> Begrenzt den Protest zeitlich, aber nicht vollständig.</w:t>
      </w:r>
    </w:p>
    <w:p>
      <w:pPr>
        <w:jc w:val="left"/>
      </w:pPr>
      <w:r>
        <w:rPr>
          <w:b/>
        </w:rPr>
        <w:t>Ergebnis:</w:t>
      </w:r>
      <w:r>
        <w:t xml:space="preserve"> Gleich geeignet wie Totalverbot für Sitzungsschutz (+); milderess Mittel (+).</w:t>
      </w:r>
    </w:p>
    <w:p/>
    <w:p>
      <w:pPr>
        <w:pStyle w:val="Heading3"/>
      </w:pPr>
      <w:r>
        <w:rPr>
          <w:rFonts w:ascii="Times New Roman" w:hAnsi="Times New Roman"/>
        </w:rPr>
        <w:t>Mittel 3: Groessenbeschraenkung des Camps</w:t>
      </w:r>
    </w:p>
    <w:p>
      <w:pPr>
        <w:jc w:val="left"/>
      </w:pPr>
      <w:r>
        <w:rPr>
          <w:b/>
        </w:rPr>
        <w:t>Beschreibung:</w:t>
      </w:r>
      <w:r>
        <w:t xml:space="preserve"> Maximal 4 Zelte (davon 1 Hauptzelt max. 4 m x 3 m; 3 Schlafzelte max. 2 m x 2 m). Maximale Dauerpraesenz: 15 Personen gleichzeitig.</w:t>
      </w:r>
    </w:p>
    <w:p>
      <w:pPr>
        <w:jc w:val="left"/>
      </w:pPr>
      <w:r>
        <w:rPr>
          <w:b/>
        </w:rPr>
        <w:t>Geeignetheit:</w:t>
      </w:r>
      <w:r>
        <w:t xml:space="preserve"> Reduziert die visuelle und räumliche Wirkung des Camps auf das Parlamentsumfeld.</w:t>
      </w:r>
    </w:p>
    <w:p>
      <w:pPr>
        <w:jc w:val="left"/>
      </w:pPr>
      <w:r>
        <w:rPr>
          <w:b/>
        </w:rPr>
        <w:t>Wirkung auf Versammlungsfreiheit:</w:t>
      </w:r>
      <w:r>
        <w:t xml:space="preserve"> Eingeschränkt, aber Kernanliegen (öffentliche Präsenz und Protest) gewahrt.</w:t>
      </w:r>
    </w:p>
    <w:p>
      <w:pPr>
        <w:jc w:val="left"/>
      </w:pPr>
      <w:r>
        <w:rPr>
          <w:b/>
        </w:rPr>
        <w:t>Ergebnis:</w:t>
      </w:r>
      <w:r>
        <w:t xml:space="preserve"> Gleich geeignet für Verkehrssicherheit und optischen Schutz (+); milderess Mittel (+).</w:t>
      </w:r>
    </w:p>
    <w:p/>
    <w:p>
      <w:pPr>
        <w:pStyle w:val="Heading3"/>
      </w:pPr>
      <w:r>
        <w:rPr>
          <w:rFonts w:ascii="Times New Roman" w:hAnsi="Times New Roman"/>
        </w:rPr>
        <w:t>Mittel 4: Pflicht zur Freihaltung von Zugangskorridoren</w:t>
      </w:r>
    </w:p>
    <w:p>
      <w:pPr>
        <w:jc w:val="left"/>
      </w:pPr>
      <w:r>
        <w:rPr>
          <w:b/>
        </w:rPr>
        <w:t>Beschreibung:</w:t>
      </w:r>
      <w:r>
        <w:t xml:space="preserve"> Alle Eingänge des Parlamentsgebäudes müssen zu jeder Zeit mit einem Korridor von mind. 5 m Breite freigehalten werden. Keine Zelte oder Geräte im Korridor.</w:t>
      </w:r>
    </w:p>
    <w:p>
      <w:pPr>
        <w:jc w:val="left"/>
      </w:pPr>
      <w:r>
        <w:rPr>
          <w:b/>
        </w:rPr>
        <w:t>Geeignetheit:</w:t>
      </w:r>
      <w:r>
        <w:t xml:space="preserve"> Sichert ungehinderten Zugang für Abgeordnete, Mitarbeiter, Besucher (+).</w:t>
      </w:r>
    </w:p>
    <w:p>
      <w:pPr>
        <w:jc w:val="left"/>
      </w:pPr>
      <w:r>
        <w:rPr>
          <w:b/>
        </w:rPr>
        <w:t>Wirkung auf Versammlungsfreiheit:</w:t>
      </w:r>
      <w:r>
        <w:t xml:space="preserve"> Keine nennenswerte Einschränkung.</w:t>
      </w:r>
    </w:p>
    <w:p>
      <w:pPr>
        <w:jc w:val="left"/>
      </w:pPr>
      <w:r>
        <w:rPr>
          <w:b/>
        </w:rPr>
        <w:t>Ergebnis:</w:t>
      </w:r>
      <w:r>
        <w:t xml:space="preserve"> Geeignet; milderess Mittel (+).</w:t>
      </w:r>
    </w:p>
    <w:p/>
    <w:p>
      <w:pPr>
        <w:pStyle w:val="Heading3"/>
      </w:pPr>
      <w:r>
        <w:rPr>
          <w:rFonts w:ascii="Times New Roman" w:hAnsi="Times New Roman"/>
        </w:rPr>
        <w:t>Mittel 5: Meldepflicht für Veranstaltungen und Reden</w:t>
      </w:r>
    </w:p>
    <w:p>
      <w:pPr>
        <w:jc w:val="left"/>
      </w:pPr>
      <w:r>
        <w:rPr>
          <w:b/>
        </w:rPr>
        <w:t>Beschreibung:</w:t>
      </w:r>
      <w:r>
        <w:t xml:space="preserve"> Groessere Veranstaltungen (Reden, Konzerte, Grosskundgebungen &gt; 50 Personen) müssen 24 Stunden im Voraus angemeldet werden und beduarfen einer separaten Genehmigung.</w:t>
      </w:r>
    </w:p>
    <w:p>
      <w:pPr>
        <w:jc w:val="left"/>
      </w:pPr>
      <w:r>
        <w:rPr>
          <w:b/>
        </w:rPr>
        <w:t>Geeignetheit:</w:t>
      </w:r>
      <w:r>
        <w:t xml:space="preserve"> Ermooglicht der Behörde, auf besondere Ereignisse im Camp reagieren zu können.</w:t>
      </w:r>
    </w:p>
    <w:p>
      <w:pPr>
        <w:jc w:val="left"/>
      </w:pPr>
      <w:r>
        <w:rPr>
          <w:b/>
        </w:rPr>
        <w:t>Wirkung auf Versammlungsfreiheit:</w:t>
      </w:r>
      <w:r>
        <w:t xml:space="preserve"> Begrenzt Spontanangebote; grundsätzlich jedoch verträgliche Einschränkung.</w:t>
      </w:r>
    </w:p>
    <w:p>
      <w:pPr>
        <w:jc w:val="left"/>
      </w:pPr>
      <w:r>
        <w:rPr>
          <w:b/>
        </w:rPr>
        <w:t>Ergebnis:</w:t>
      </w:r>
      <w:r>
        <w:t xml:space="preserve"> Geeignet als Ergaenzungsmassnahme; milderess Mittel (+).</w:t>
      </w:r>
    </w:p>
    <w:p/>
    <w:p>
      <w:pPr>
        <w:pStyle w:val="Heading2"/>
      </w:pPr>
      <w:r>
        <w:rPr>
          <w:rFonts w:ascii="Times New Roman" w:hAnsi="Times New Roman"/>
        </w:rPr>
        <w:t>III. Kombination der milderen Mittel</w:t>
      </w:r>
    </w:p>
    <w:p>
      <w:pPr>
        <w:jc w:val="left"/>
      </w:pPr>
      <w:r>
        <w:t>Die milderen Mittel können kombiniert werden:</w:t>
      </w:r>
    </w:p>
    <w:p>
      <w:pPr>
        <w:jc w:val="left"/>
      </w:pPr>
      <w:r>
        <w:rPr>
          <w:b/>
        </w:rPr>
        <w:t>Auflagenpaket „Klimacamp-kompatibel":</w:t>
      </w:r>
    </w:p>
    <w:p>
      <w:pPr>
        <w:pStyle w:val="ListNumber"/>
      </w:pPr>
      <w:r>
        <w:t>Räumliche Beschränkung: Camp nur auf seitlichem Bereich des Vorplatzes (Abstand Gebäude mind. 15 m)</w:t>
      </w:r>
    </w:p>
    <w:p>
      <w:pPr>
        <w:pStyle w:val="ListNumber"/>
      </w:pPr>
      <w:r>
        <w:t>Lautstärke: Ausserhalb Sitzungszeiten max. 65 dB(A); während Sitzungen max. 50 dB(A); ab 22:00 Uhr keine Beschallung</w:t>
      </w:r>
    </w:p>
    <w:p>
      <w:pPr>
        <w:pStyle w:val="ListNumber"/>
      </w:pPr>
      <w:r>
        <w:t>Groesse: Max. 4 Zelte, max. 15 Dauerpraesente gleichzeitig</w:t>
      </w:r>
    </w:p>
    <w:p>
      <w:pPr>
        <w:pStyle w:val="ListNumber"/>
      </w:pPr>
      <w:r>
        <w:t>Korridore: Zugangsbereiche 5 m Breite permanent freihalten</w:t>
      </w:r>
    </w:p>
    <w:p>
      <w:pPr>
        <w:pStyle w:val="ListNumber"/>
      </w:pPr>
      <w:r>
        <w:t>Meldung: Grossveranstaltungen 24h vorher melden</w:t>
      </w:r>
    </w:p>
    <w:p>
      <w:pPr>
        <w:jc w:val="left"/>
      </w:pPr>
      <w:r>
        <w:rPr>
          <w:b/>
        </w:rPr>
        <w:t>Wirkung auf den Schutzzweck (Parlamentsbetrieb):</w:t>
      </w:r>
      <w:r>
        <w:t xml:space="preserve"> Das Paket schutzt alle wesentlichen Schutzinteressen — Zugang, Lautstärke in Sitzungen, räumliche Freiheit.</w:t>
      </w:r>
    </w:p>
    <w:p>
      <w:pPr>
        <w:jc w:val="left"/>
      </w:pPr>
      <w:r>
        <w:rPr>
          <w:b/>
        </w:rPr>
        <w:t>Wirkung auf Versammlungsfreiheit:</w:t>
      </w:r>
      <w:r>
        <w:t xml:space="preserve"> Dauerprotestcamp bleibt möglich; öffentliche Wirksamkeit des Protests bleibt weitgehend erhalten.</w:t>
      </w:r>
    </w:p>
    <w:p/>
    <w:p>
      <w:pPr>
        <w:pStyle w:val="Heading2"/>
      </w:pPr>
      <w:r>
        <w:rPr>
          <w:rFonts w:ascii="Times New Roman" w:hAnsi="Times New Roman"/>
        </w:rPr>
        <w:t>IV. Ergebnis</w:t>
      </w:r>
    </w:p>
    <w:p>
      <w:pPr>
        <w:jc w:val="left"/>
      </w:pPr>
      <w:r>
        <w:t xml:space="preserve">Das Totalverbot ist </w:t>
      </w:r>
      <w:r>
        <w:rPr>
          <w:b/>
        </w:rPr>
        <w:t>nicht erforderlich</w:t>
      </w:r>
      <w:r>
        <w:t>. Das dargestellte Auflagenpaket ist ein gleich geeignetes milderes Mittel, das dem Schutzzweck des § 16 SaarlVersG genügt, ohne den Kern der Versammlungsfreiheit zu opfern.</w:t>
      </w:r>
    </w:p>
    <w:p>
      <w:pPr>
        <w:jc w:val="left"/>
      </w:pPr>
      <w:r>
        <w:t>Die Verbotsverfügung des Stadtrechtsamts vom 12.03.2026 hat mildere Mittel weder geprüft noch erwaogen. Dies führt zur Rechtswidrigkeit des Totalverbots und zur Verletzung von Art. 8 I GG.</w:t>
      </w:r>
    </w:p>
    <w:sectPr w:rsidR="00FC693F" w:rsidRPr="0006063C" w:rsidSect="00034616"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/>
      <w:b/>
      <w:bCs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/>
      <w:b/>
      <w:bCs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