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19 — Finanzierungsplan Rechtsmittelverfahren</w:t>
      </w:r>
    </w:p>
    <w:p>
      <w:pPr>
        <w:jc w:val="left"/>
      </w:pPr>
      <w:r>
        <w:rPr>
          <w:b/>
        </w:rPr>
        <w:t>Erstellt:</w:t>
      </w:r>
      <w:r>
        <w:t xml:space="preserve"> 13.03.2026</w:t>
      </w:r>
    </w:p>
    <w:p>
      <w:pPr>
        <w:jc w:val="left"/>
      </w:pPr>
      <w:r>
        <w:rPr>
          <w:b/>
        </w:rPr>
        <w:t>Bearbeiter:</w:t>
      </w:r>
      <w:r>
        <w:t xml:space="preserve"> RA Dr. Roosendaal-Eichmueller / Anton Rzepiela (Schatzmeister Initiative)</w:t>
      </w:r>
    </w:p>
    <w:p/>
    <w:p>
      <w:pPr>
        <w:pStyle w:val="Heading2"/>
      </w:pPr>
      <w:r>
        <w:rPr>
          <w:rFonts w:ascii="Times New Roman" w:hAnsi="Times New Roman"/>
        </w:rPr>
        <w:t>I. Verfahrenskosten Gesamt (Prognose)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Verfahrensschritt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Kostenart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 (ca.)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Eilantrag VG Saarlouis (§ 80 V VwGO)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Anwaltsgebühren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1.200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VG-Gerichtsgebühren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Gerichtsgebühren (Streitwert 5.000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450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Beschwerde OVG Saarland (§ 146 VwGO)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Anwaltsgebühren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1.300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OVG-Gerichtsgebühren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Gerichtsgebühren (Streitwert 5.000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450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Verfassungsbeschwerde BVerfG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Anwaltsgebühren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4.500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Eilantrag § 32 BVerfGG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Anwaltsgebühren (inkl. in VB)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BVerfG — Gerichtsgebühren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(BVerfG-Verfahren gebührenfrei für BF)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Wissenschaftliche Beratung Prof. Birkenhain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Honorar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1.200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Reise-/Nebenkosten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Fahrt, Kopien, Fax, Zustellungen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350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 (Prognose)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ca. 9.450 EUR</w:t>
            </w:r>
          </w:p>
        </w:tc>
      </w:tr>
    </w:tbl>
    <w:p>
      <w:pPr>
        <w:jc w:val="left"/>
      </w:pPr>
      <w:r>
        <w:rPr>
          <w:b/>
        </w:rPr>
        <w:t>Hinweis:</w:t>
      </w:r>
      <w:r>
        <w:t xml:space="preserve"> Bei Unterliegen der BF in allen Instanzen fällen zusätzlich die Kosten der Gegenpartei an (VG und OVG). BVerfG-Verfahren: keine Kostenerstattung an Gegner (§ 34a BVerfGG). Risiko-Kostenpuffer: + 2.500 EUR.</w:t>
      </w:r>
    </w:p>
    <w:p>
      <w:pPr>
        <w:jc w:val="left"/>
      </w:pPr>
      <w:r>
        <w:rPr>
          <w:b/>
        </w:rPr>
        <w:t>Gesamtrisiko (inkl. Gegnerkosten):</w:t>
      </w:r>
      <w:r>
        <w:t xml:space="preserve"> ca. 11.950 EUR.</w:t>
      </w:r>
    </w:p>
    <w:p/>
    <w:p>
      <w:pPr>
        <w:pStyle w:val="Heading2"/>
      </w:pPr>
      <w:r>
        <w:rPr>
          <w:rFonts w:ascii="Times New Roman" w:hAnsi="Times New Roman"/>
        </w:rPr>
        <w:t>II. Finanzierungsquellen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Spendenaufruf Initiative (Stand 13.03.2026)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12.400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Vorhanden; Konto Initiative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Vorauszahlung Kanzlei (bereits geleistet)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Überwiesen 13.03.2026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Förderzusage BUND Saarland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Zugesagt mündlich; Bestätigung ausstehend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Förderzusage Campact e.V.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1.500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gestellt 13.03.2026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Verfügbar gesamt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ca. 15.900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jc w:val="left"/>
      </w:pPr>
      <w:r>
        <w:rPr>
          <w:b/>
        </w:rPr>
        <w:t>Fazit:</w:t>
      </w:r>
      <w:r>
        <w:t xml:space="preserve"> Die vorhandenen Mittel decken auch das Kostenrisiko bei vollständigem Unterliegen. Ein Prozesskostenfonds-Einschluss ist nicht zwingend erforderlich, jedoch als Absicherung sinnvoll (s.u.).</w:t>
      </w:r>
    </w:p>
    <w:p/>
    <w:p>
      <w:pPr>
        <w:pStyle w:val="Heading2"/>
      </w:pPr>
      <w:r>
        <w:rPr>
          <w:rFonts w:ascii="Times New Roman" w:hAnsi="Times New Roman"/>
        </w:rPr>
        <w:t>III. Prozesskostenfinanzierung — Absicherung</w:t>
      </w:r>
    </w:p>
    <w:p>
      <w:pPr>
        <w:jc w:val="left"/>
      </w:pPr>
      <w:r>
        <w:t>Als zusätzliche Absicherung wird die Anfrage bei einem Prozesskostenfinanzierer (Eventus Legal Funding GmbH, Saarbruecken) geprüft. Voraussetzungen:</w:t>
      </w:r>
    </w:p>
    <w:p>
      <w:pPr>
        <w:pStyle w:val="ListBullet"/>
      </w:pPr>
      <w:r>
        <w:t>Streitwert: nicht einschlägig (Verfassungsbeschwerde ist nicht streitwertmaessig bewertet)</w:t>
      </w:r>
    </w:p>
    <w:p>
      <w:pPr>
        <w:pStyle w:val="ListBullet"/>
      </w:pPr>
      <w:r>
        <w:t>Alternative: Finanzierung des Kostenrisikos für das Strafverfahren BF 2, 4, 5 (§ 27 SaarlVersG) — Gesamtrisiko ca. 3.000 EUR</w:t>
      </w:r>
    </w:p>
    <w:p>
      <w:pPr>
        <w:jc w:val="left"/>
      </w:pPr>
      <w:r>
        <w:t>Entscheidung: Anfrage wird gestellt; Antwort bis 20.03.2026 erwartet.</w:t>
      </w:r>
    </w:p>
    <w:p/>
    <w:p>
      <w:pPr>
        <w:pStyle w:val="Heading2"/>
      </w:pPr>
      <w:r>
        <w:rPr>
          <w:rFonts w:ascii="Times New Roman" w:hAnsi="Times New Roman"/>
        </w:rPr>
        <w:t>IV. Steuerliche Behandlung Spendenaufruf</w:t>
      </w:r>
    </w:p>
    <w:p>
      <w:pPr>
        <w:jc w:val="left"/>
      </w:pPr>
      <w:r>
        <w:t>Der Spendenaufruf der Initiative e.V. ist nach § 52 AO begueenstigt (gemeinnütziger Verein, Zweck Umweltschutz). Spendenquittungen werden ausgestellt. Die Anwaltskosten sind Vereinsausgaben (kein VSt-Abzug, da nicht umsatzsteuerpflichtig).</w:t>
      </w:r>
    </w:p>
    <w:p/>
    <w:p>
      <w:pPr>
        <w:pStyle w:val="Heading2"/>
      </w:pPr>
      <w:r>
        <w:rPr>
          <w:rFonts w:ascii="Times New Roman" w:hAnsi="Times New Roman"/>
        </w:rPr>
        <w:t>V. Interne Abrechnung und Zeitplan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Termin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Vorgang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Vorauszahlung Initiative an Kanzlei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5.000 EUR (erhalten)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18.03.2026 (geplant)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Abschlussrechnung VG/OVG-Verfahren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3.400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 BVerfG-Entscheidung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Abschlussrechnung BVerfG-Verfahren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5.700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Restbetrag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Ggf. Rückzahlung bei Kostenentstattung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abh. von Ergebnis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