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SV-Gutachten Zusammenfassung — Dipl.-Ing. Pohlmann-Wittfeldt</w:t>
      </w:r>
    </w:p>
    <w:p>
      <w:pPr>
        <w:jc w:val="left"/>
      </w:pPr>
      <w:r>
        <w:t>Sachverständiger: Dipl.-Ing. Rainer Pohlmann-Wittfeldt</w:t>
      </w:r>
    </w:p>
    <w:p>
      <w:pPr>
        <w:jc w:val="left"/>
      </w:pPr>
      <w:r>
        <w:t>Büro für Kfz-Technik und Messtechnik, Sandstraße 17, 23552 Lübeck</w:t>
      </w:r>
    </w:p>
    <w:p>
      <w:pPr>
        <w:jc w:val="left"/>
      </w:pPr>
      <w:r>
        <w:t>Öffentlich bestellt und beeidigt durch IHK zu Lübeck für Kfz-Technik und Verkehrsmesstechnik</w:t>
      </w:r>
    </w:p>
    <w:p>
      <w:pPr>
        <w:jc w:val="left"/>
      </w:pPr>
      <w:r>
        <w:t>SV-AZ: PW-OWi-2026-0044</w:t>
      </w:r>
    </w:p>
    <w:p>
      <w:pPr>
        <w:jc w:val="left"/>
      </w:pPr>
      <w:r>
        <w:t>Auftraggeber: Kanzlei Schwingenstein-Roosendaal Strafrechtspartner (für Betroffenen)</w:t>
      </w:r>
    </w:p>
    <w:p>
      <w:pPr>
        <w:jc w:val="left"/>
      </w:pPr>
      <w:r>
        <w:t>Datum Gutachten: 12.09.2026</w:t>
      </w:r>
    </w:p>
    <w:p/>
    <w:p>
      <w:pPr>
        <w:pStyle w:val="Heading2"/>
      </w:pPr>
      <w:r>
        <w:rPr>
          <w:rFonts w:ascii="Times New Roman" w:hAnsi="Times New Roman"/>
        </w:rPr>
        <w:t>Gutachtengrundlagen</w:t>
      </w:r>
    </w:p>
    <w:p>
      <w:pPr>
        <w:jc w:val="left"/>
      </w:pPr>
      <w:r>
        <w:t>Ausgewertete Unterlagen:</w:t>
      </w:r>
    </w:p>
    <w:p>
      <w:pPr>
        <w:pStyle w:val="ListBullet"/>
      </w:pPr>
      <w:r>
        <w:t>Messprotokoll BAMV Messreihe 188 (vollständig)</w:t>
      </w:r>
    </w:p>
    <w:p>
      <w:pPr>
        <w:pStyle w:val="ListBullet"/>
      </w:pPr>
      <w:r>
        <w:t>Eichschein BAMV (LMG-NI-2025-BAMV-0447)</w:t>
      </w:r>
    </w:p>
    <w:p>
      <w:pPr>
        <w:pStyle w:val="ListBullet"/>
      </w:pPr>
      <w:r>
        <w:t>Rohdatensatz Section Control SC-BAB7-BW-2026-0204-1422</w:t>
      </w:r>
    </w:p>
    <w:p>
      <w:pPr>
        <w:pStyle w:val="ListBullet"/>
      </w:pPr>
      <w:r>
        <w:t>Eichschein Speedcheck-XR (LMG-NI-2025-SC-0122)</w:t>
      </w:r>
    </w:p>
    <w:p>
      <w:pPr>
        <w:pStyle w:val="ListBullet"/>
      </w:pPr>
      <w:r>
        <w:t>PTB-Zulassung BAMV LB-7000 (49.01/22.017)</w:t>
      </w:r>
    </w:p>
    <w:p>
      <w:pPr>
        <w:pStyle w:val="ListBullet"/>
      </w:pPr>
      <w:r>
        <w:t>PTB-Zulassung Speedcheck-XR (SC-XR-PTB-2024-007)</w:t>
      </w:r>
    </w:p>
    <w:p>
      <w:pPr>
        <w:pStyle w:val="ListBullet"/>
      </w:pPr>
      <w:r>
        <w:t>Frontfoto Section Control Portal A (Originaldatei, 1280x960 px)</w:t>
      </w:r>
    </w:p>
    <w:p>
      <w:pPr>
        <w:pStyle w:val="ListBullet"/>
      </w:pPr>
      <w:r>
        <w:t>Streckenfoto BAB 7 km 187,4 (Begehung 22.08.2026)</w:t>
      </w:r>
    </w:p>
    <w:p>
      <w:pPr>
        <w:pStyle w:val="ListBullet"/>
      </w:pPr>
      <w:r>
        <w:t>Orthofotos und Geodaten Brücke Bispingen-Nord</w:t>
      </w:r>
    </w:p>
    <w:p/>
    <w:p>
      <w:pPr>
        <w:pStyle w:val="Heading2"/>
      </w:pPr>
      <w:r>
        <w:rPr>
          <w:rFonts w:ascii="Times New Roman" w:hAnsi="Times New Roman"/>
        </w:rPr>
        <w:t>Ergebnis zu Beweisthema 1 — BAMV Aufstellungskonformität</w:t>
      </w:r>
    </w:p>
    <w:p>
      <w:pPr>
        <w:jc w:val="left"/>
      </w:pPr>
      <w:r>
        <w:rPr>
          <w:b/>
        </w:rPr>
        <w:t>Befund:</w:t>
      </w:r>
      <w:r>
        <w:t xml:space="preserve"> Bei der Vor-Ort-Begehung am 22.08.2026 stellte der SV fest, dass die Brücke Bispingen-Nord in einem Längsneigungswinkel von 1,8 % installiert ist. Die PTB-Zulassung Nr. 49.01/22.017 sieht als zulässige Querneigung maximal 1,5 % und als Längsneigung maximal 1,0 % vor. Die festgestellte Längsneigung von 1,8 % überschreitet damit den Grenzwert der PTB-Zulassung um 0,8 Prozentpunkte.</w:t>
      </w:r>
    </w:p>
    <w:p>
      <w:pPr>
        <w:jc w:val="left"/>
      </w:pPr>
      <w:r>
        <w:rPr>
          <w:b/>
        </w:rPr>
        <w:t>Auswirkung auf Messung:</w:t>
      </w:r>
      <w:r>
        <w:t xml:space="preserve"> Bei einer Längsneigung von 1,8 % ist nach Berechnungen des SV eine systematische Unterschätzung des Abstands um ca. 2–4 m möglich, da die Laserstrahl-Reflexionspunkte bei geneigter Brücke nicht mehr exakt auf der Fahrbahn-Referenzebene liegen.</w:t>
      </w:r>
    </w:p>
    <w:p>
      <w:pPr>
        <w:jc w:val="left"/>
      </w:pPr>
      <w:r>
        <w:rPr>
          <w:b/>
        </w:rPr>
        <w:t>Schlussfolgerung SV:</w:t>
      </w:r>
      <w:r>
        <w:t xml:space="preserve"> Die Messung kann nicht als standardisiertes Verfahren eingestuft werden. Eine messtechnisch korrekte Bestimmung des Abstands wäre nur mit einer individuellen Fehlerberechnung möglich. Unter Berücksichtigung der systematischen Abweichung ist ein gemessener Abstand von 28 m als mit einem Fehler von ± 4 m behaftet anzusehen. Der tatsächliche Abstand kann 24–32 m betragen.</w:t>
      </w:r>
    </w:p>
    <w:p/>
    <w:p>
      <w:pPr>
        <w:pStyle w:val="Heading2"/>
      </w:pPr>
      <w:r>
        <w:rPr>
          <w:rFonts w:ascii="Times New Roman" w:hAnsi="Times New Roman"/>
        </w:rPr>
        <w:t>Ergebnis zu Beweisthema 2 — Fahreridentifizierung</w:t>
      </w:r>
    </w:p>
    <w:p>
      <w:pPr>
        <w:jc w:val="left"/>
      </w:pPr>
      <w:r>
        <w:rPr>
          <w:b/>
        </w:rPr>
        <w:t>Befund:</w:t>
      </w:r>
      <w:r>
        <w:t xml:space="preserve"> Das Frontfoto Portal A (Einfahrt Section Control, 14:21:21 Uhr) wurde analysiert. Das Bild weist folgende messtechnische Mängel auf:</w:t>
      </w:r>
    </w:p>
    <w:p>
      <w:pPr>
        <w:pStyle w:val="ListBullet"/>
      </w:pPr>
      <w:r>
        <w:t>Auflösung: 1280x960 px; effektive Gesichtsfläche des Fahrers: ca. 14x18 Pixel</w:t>
      </w:r>
    </w:p>
    <w:p>
      <w:pPr>
        <w:pStyle w:val="ListBullet"/>
      </w:pPr>
      <w:r>
        <w:t>Überbelichtung durch IR-Aufheller: Frontscheibe stark reflektierend</w:t>
      </w:r>
    </w:p>
    <w:p>
      <w:pPr>
        <w:pStyle w:val="ListBullet"/>
      </w:pPr>
      <w:r>
        <w:t>Gesichtserkennung auf Basis von 14x18 Pixel ist nach NIST-Richtlinien (Face Recognition Vendor Test) als nicht ausreichend für eine gerichtsfeste Identifizierung einzustufen (Mindestanforderung: 90x90 Pixel)</w:t>
      </w:r>
    </w:p>
    <w:p>
      <w:pPr>
        <w:pStyle w:val="ListBullet"/>
      </w:pPr>
      <w:r>
        <w:t>Aus dem Foto sind keine individuellen Gesichtsmerkmale ableitbar</w:t>
      </w:r>
    </w:p>
    <w:p>
      <w:pPr>
        <w:jc w:val="left"/>
      </w:pPr>
      <w:r>
        <w:rPr>
          <w:b/>
        </w:rPr>
        <w:t>Schlussfolgerung SV:</w:t>
      </w:r>
      <w:r>
        <w:t xml:space="preserve"> Das Frontfoto ist für eine Fahreridentifizierung technisch ungeeignet. Es kann nicht mit hinreichender Sicherheit festgestellt werden, dass der Fahrer des Sattelzuges HH-NS 3201 zum Messzeitpunkt Henrik Norderhof-Tannenmoor war.</w:t>
      </w:r>
    </w:p>
    <w:p/>
    <w:p>
      <w:pPr>
        <w:pStyle w:val="Heading2"/>
      </w:pPr>
      <w:r>
        <w:rPr>
          <w:rFonts w:ascii="Times New Roman" w:hAnsi="Times New Roman"/>
        </w:rPr>
        <w:t>Ergebnis zu Beweisthema 3 — Toleranzgrenzen BAMV</w:t>
      </w:r>
    </w:p>
    <w:p>
      <w:pPr>
        <w:jc w:val="left"/>
      </w:pPr>
      <w:r>
        <w:rPr>
          <w:b/>
        </w:rPr>
        <w:t>Befund:</w:t>
      </w:r>
      <w:r>
        <w:t xml:space="preserve"> Unter den am 04.02.2026 herrschenden Witterungsbedingungen (+3 Grad, Luftfeuchte 82 %) und mit der Fahrzeugmasse 32 t weist das LB-7000-System eine Messstreuung von ± 2,1 m auf (empirisch aus Testmessungen des Herstellers). Zuzüglich des Aufstellungsfehlers (bis ± 4 m) ergibt sich eine Gesamtmessabweichung von ± 5–6 m.</w:t>
      </w:r>
    </w:p>
    <w:p/>
    <w:p>
      <w:pPr>
        <w:pStyle w:val="Heading2"/>
      </w:pPr>
      <w:r>
        <w:rPr>
          <w:rFonts w:ascii="Times New Roman" w:hAnsi="Times New Roman"/>
        </w:rPr>
        <w:t>Ergebnis zu Beweisthema 4 — Tateinheit</w:t>
      </w:r>
    </w:p>
    <w:p>
      <w:pPr>
        <w:jc w:val="left"/>
      </w:pPr>
      <w:r>
        <w:rPr>
          <w:b/>
        </w:rPr>
        <w:t>Befund:</w:t>
      </w:r>
      <w:r>
        <w:t xml:space="preserve"> Der BAMV-Messzeitpunkt 14:22:08 liegt innerhalb des Section-Control-Abschnitts (Einfahrt 14:21:21, Ausfahrt 14:22:50). Beide Messungen beziehen sich auf dieselbe Fahrt desselben Fahrzeugs im selben Zeitraum. Es handelt sich um eine einheitliche Handlung im Sinne des § 19 OWiG.</w:t>
      </w:r>
    </w:p>
    <w:p/>
    <w:p>
      <w:pPr>
        <w:pStyle w:val="Heading2"/>
      </w:pPr>
      <w:r>
        <w:rPr>
          <w:rFonts w:ascii="Times New Roman" w:hAnsi="Times New Roman"/>
        </w:rPr>
        <w:t>Gesamtfazit SV</w:t>
      </w:r>
    </w:p>
    <w:p>
      <w:pPr>
        <w:jc w:val="left"/>
      </w:pPr>
      <w:r>
        <w:t>Die BAMV-Messung ist aufgrund der festgestellten Aufstellungsabweichung messtechnisch nicht als standardisiertes Verfahren anerkennungsfähig. Die Fahreridentifizierung aus dem Section-Control-Foto ist technisch nicht möglich. Die gleichzeitige Sanktionierung beider Verstöße ist rechtlich als Tateinheit zu werten.</w:t>
      </w:r>
    </w:p>
    <w:p>
      <w:pPr>
        <w:jc w:val="left"/>
      </w:pPr>
      <w:r>
        <w:t>Der SV steht für eine Aussage in der Hauptverhandlung am 24.10.2026 zur Verfügung.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