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Existenzgefährdungsprüfung — Fahrverbot § 25 StVG / § 4 BKatV</w:t>
      </w:r>
    </w:p>
    <w:p>
      <w:pPr>
        <w:jc w:val="left"/>
      </w:pPr>
      <w:r>
        <w:t>Bearbeiter: RA Lattermann</w:t>
      </w:r>
    </w:p>
    <w:p>
      <w:pPr>
        <w:jc w:val="left"/>
      </w:pPr>
      <w:r>
        <w:t>Datum: 20.09.2026</w:t>
      </w:r>
    </w:p>
    <w:p>
      <w:pPr>
        <w:jc w:val="left"/>
      </w:pPr>
      <w:r>
        <w:t>AZ: ML-2026-OWi-0188</w:t>
      </w:r>
    </w:p>
    <w:p/>
    <w:p>
      <w:pPr>
        <w:pStyle w:val="Heading2"/>
      </w:pPr>
      <w:r>
        <w:rPr>
          <w:rFonts w:ascii="Times New Roman" w:hAnsi="Times New Roman"/>
        </w:rPr>
        <w:t>Rechtlicher Rahmen</w:t>
      </w:r>
    </w:p>
    <w:p>
      <w:pPr>
        <w:jc w:val="left"/>
      </w:pPr>
      <w:r>
        <w:t>Gemäß § 4 Abs. 4 BKatV i.V.m. § 25 Abs. 1 StVG ist das Gericht nicht verpflichtet, ein Fahrverbot zu verhängen, wenn besondere Umstände vorliegen, die ein Absehen vom Fahrverbot rechtfertigen. Die Rechtsprechung erkennt als Absehensgründe insbesondere an:</w:t>
      </w:r>
    </w:p>
    <w:p>
      <w:pPr>
        <w:pStyle w:val="ListBullet"/>
      </w:pPr>
      <w:r>
        <w:t>Außergewöhnliche Härte durch drohenden Arbeitsplatzverlust</w:t>
      </w:r>
    </w:p>
    <w:p>
      <w:pPr>
        <w:pStyle w:val="ListBullet"/>
      </w:pPr>
      <w:r>
        <w:t>Existenzgefährdung eines selbstständigen Betriebes</w:t>
      </w:r>
    </w:p>
    <w:p>
      <w:pPr>
        <w:pStyle w:val="ListBullet"/>
      </w:pPr>
      <w:r>
        <w:t>Drohender Verlust der Geschäftsführerposition</w:t>
      </w:r>
    </w:p>
    <w:p>
      <w:pPr>
        <w:pStyle w:val="ListBullet"/>
      </w:pPr>
      <w:r>
        <w:t>Besondere berufliche Abhängigkeit von der Fahrerlaubnis (z.B. Alleinverdiener, Trucker, Solo-Selbstständiger)</w:t>
      </w:r>
    </w:p>
    <w:p>
      <w:pPr>
        <w:jc w:val="left"/>
      </w:pPr>
      <w:r>
        <w:t>Dabei genügt nicht die allgemeine Unannehmlichkeit eines Fahrverbots oder allgemeine berufliche Erschwerungen. Es muss eine konkrete, qualifizierte und durch Belege gestützte Darlegung der existenzgefährdenden Wirkung vorliegen.</w:t>
      </w:r>
    </w:p>
    <w:p/>
    <w:p>
      <w:pPr>
        <w:pStyle w:val="Heading2"/>
      </w:pPr>
      <w:r>
        <w:rPr>
          <w:rFonts w:ascii="Times New Roman" w:hAnsi="Times New Roman"/>
        </w:rPr>
        <w:t>Sachverhalt Norderhof Spedition GmbH</w:t>
      </w:r>
    </w:p>
    <w:p>
      <w:pPr>
        <w:jc w:val="left"/>
      </w:pPr>
      <w:r>
        <w:rPr>
          <w:b/>
        </w:rPr>
        <w:t>Rechtsform und Struktur:</w:t>
      </w:r>
    </w:p>
    <w:p>
      <w:pPr>
        <w:pStyle w:val="ListBullet"/>
      </w:pPr>
      <w:r>
        <w:t>Norderhof Spedition GmbH, HRB 112744 HB Hamburg</w:t>
      </w:r>
    </w:p>
    <w:p>
      <w:pPr>
        <w:pStyle w:val="ListBullet"/>
      </w:pPr>
      <w:r>
        <w:t>Alleiniger Gesellschafter und Geschäftsführer: Henrik Norderhof-Tannenmoor</w:t>
      </w:r>
    </w:p>
    <w:p>
      <w:pPr>
        <w:pStyle w:val="ListBullet"/>
      </w:pPr>
      <w:r>
        <w:t>Mitarbeiter: 38 Personen</w:t>
      </w:r>
    </w:p>
    <w:p>
      <w:pPr>
        <w:pStyle w:val="ListBullet"/>
      </w:pPr>
      <w:r>
        <w:t>Jahresumsatz 2025: ca. 7,2 Mio. EUR</w:t>
      </w:r>
    </w:p>
    <w:p>
      <w:pPr>
        <w:pStyle w:val="ListBullet"/>
      </w:pPr>
      <w:r>
        <w:t>Jahresgewinn (EBIT) 2025: ca. 480 TEUR (Schätzung Steuerberater)</w:t>
      </w:r>
    </w:p>
    <w:p>
      <w:pPr>
        <w:pStyle w:val="ListBullet"/>
      </w:pPr>
      <w:r>
        <w:t>Hauptkunden: Continental AG (Reifenlogistik), Netto Marken-Discount (Frischlogistik), drei mittelständische Maschinenbauer</w:t>
      </w:r>
    </w:p>
    <w:p>
      <w:pPr>
        <w:jc w:val="left"/>
      </w:pPr>
      <w:r>
        <w:rPr>
          <w:b/>
        </w:rPr>
        <w:t>Bedeutung der Fahrerlaubnis für die GmbH-Führung:</w:t>
      </w:r>
    </w:p>
    <w:p>
      <w:pPr>
        <w:pStyle w:val="ListNumber"/>
      </w:pPr>
      <w:r>
        <w:t>Der Mandant fährt bei Personalengpässen (ca. 8–12 Mal pro Jahr) selbst Sattelzug; Klasse CE erforderlich. Ohne Fahrerlaubnis während des Fahrverbots: Ausfall dieser Kapazität.</w:t>
      </w:r>
    </w:p>
    <w:p>
      <w:pPr>
        <w:pStyle w:val="ListNumber"/>
      </w:pPr>
      <w:r>
        <w:t>Kundentermine erfolgen überwiegend mit eigenem Pkw (BMW 530d, Dienst-KfZ); Mandant ist in der Region Hamburg/Schleswig-Holstein stark mobil.</w:t>
      </w:r>
    </w:p>
    <w:p>
      <w:pPr>
        <w:pStyle w:val="ListNumber"/>
      </w:pPr>
      <w:r>
        <w:t>Wochenendbereitschaft: Mandant muss gelegentlich bei Havarien persönlich vor Ort erscheinen (Panne, Unfall, Zollproblem).</w:t>
      </w:r>
    </w:p>
    <w:p>
      <w:pPr>
        <w:pStyle w:val="ListNumber"/>
      </w:pPr>
      <w:r>
        <w:t>Keine Vertretung: Es gibt keinen zweiten Geschäftsführer; die Prokuristin (Frau Kraus-Bender) hat keine Fahrerlaubnis Klasse CE.</w:t>
      </w:r>
    </w:p>
    <w:p>
      <w:pPr>
        <w:jc w:val="left"/>
      </w:pPr>
      <w:r>
        <w:rPr>
          <w:b/>
        </w:rPr>
        <w:t>Wirtschaftliche Auswirkungen eines Fahrverbots:</w:t>
      </w:r>
    </w:p>
    <w:p>
      <w:pPr>
        <w:pStyle w:val="ListBullet"/>
      </w:pPr>
      <w:r>
        <w:t>Ausfall eigener Fahrten: Lohnkosten Ersatzfahrer ca. 3.800 EUR/Monat</w:t>
      </w:r>
    </w:p>
    <w:p>
      <w:pPr>
        <w:pStyle w:val="ListBullet"/>
      </w:pPr>
      <w:r>
        <w:t>Mobility-Kosten (Taxi, Mietwagen für GF-Termine): ca. 2.200 EUR/Monat</w:t>
      </w:r>
    </w:p>
    <w:p>
      <w:pPr>
        <w:pStyle w:val="ListBullet"/>
      </w:pPr>
      <w:r>
        <w:t>Gefährdung Rahmenvertrag Continental: Vertragsklausel verlangt „persönliche Erreichbarkeit GF"; Beschwerde Continental vom 01.10.2025 wegen verzögerter Reaktionszeit läuft noch</w:t>
      </w:r>
    </w:p>
    <w:p>
      <w:pPr>
        <w:pStyle w:val="ListBullet"/>
      </w:pPr>
      <w:r>
        <w:t>Drohender Umsatzausfall durch nicht wahrgenommene Kundentermine: geschätzt 40.000–80.000 EUR (Kanzleieinschätzung auf Basis Mandantenangaben)</w:t>
      </w:r>
    </w:p>
    <w:p/>
    <w:p>
      <w:pPr>
        <w:pStyle w:val="Heading2"/>
      </w:pPr>
      <w:r>
        <w:rPr>
          <w:rFonts w:ascii="Times New Roman" w:hAnsi="Times New Roman"/>
        </w:rPr>
        <w:t>Belege (zur Hauptverhandlung vorzulegen)</w:t>
      </w:r>
    </w:p>
    <w:p>
      <w:pPr>
        <w:pStyle w:val="ListNumber"/>
      </w:pPr>
      <w:r>
        <w:t>Handelsregisterauszug Norderhof Spedition GmbH (HRB 112744 HB)</w:t>
      </w:r>
    </w:p>
    <w:p>
      <w:pPr>
        <w:pStyle w:val="ListNumber"/>
      </w:pPr>
      <w:r>
        <w:t>Gewinn- und Verlustrechnung 2025 (testiert)</w:t>
      </w:r>
    </w:p>
    <w:p>
      <w:pPr>
        <w:pStyle w:val="ListNumber"/>
      </w:pPr>
      <w:r>
        <w:t>Fahrtenbuch 2025 (Eigenfahrten GF)</w:t>
      </w:r>
    </w:p>
    <w:p>
      <w:pPr>
        <w:pStyle w:val="ListNumber"/>
      </w:pPr>
      <w:r>
        <w:t>Rahmenvertrag Continental AG (Auszug, Erreichbarkeitsklausel)</w:t>
      </w:r>
    </w:p>
    <w:p>
      <w:pPr>
        <w:pStyle w:val="ListNumber"/>
      </w:pPr>
      <w:r>
        <w:t>Schreiben Continental AG vom 01.10.2025 (Beschwerde Erreichbarkeit)</w:t>
      </w:r>
    </w:p>
    <w:p>
      <w:pPr>
        <w:pStyle w:val="ListNumber"/>
      </w:pPr>
      <w:r>
        <w:t>Erklärung Prokuristin Kraus-Bender zur fehlenden Vertretungsfähigkeit</w:t>
      </w:r>
    </w:p>
    <w:p>
      <w:pPr>
        <w:pStyle w:val="ListNumber"/>
      </w:pPr>
      <w:r>
        <w:t>Eidesstattliche Versicherung Mandant über wirtschaftliche Folgen</w:t>
      </w:r>
    </w:p>
    <w:p/>
    <w:p>
      <w:pPr>
        <w:pStyle w:val="Heading2"/>
      </w:pPr>
      <w:r>
        <w:rPr>
          <w:rFonts w:ascii="Times New Roman" w:hAnsi="Times New Roman"/>
        </w:rPr>
        <w:t>Rechtliche Einschätzung</w:t>
      </w:r>
    </w:p>
    <w:p>
      <w:pPr>
        <w:jc w:val="left"/>
      </w:pPr>
      <w:r>
        <w:t>Die Darlegung der Existenzgefährdung ist nach Kanzleieinschätzung überdurchschnittlich stark. Alleiniger GF ohne Vertretung, eigene Fahrten für den Betrieb, laufende Kundenproblematik Continental — dies übersteigt die normale Unannehmlichkeit eines Fahrverbots erheblich.</w:t>
      </w:r>
    </w:p>
    <w:p>
      <w:pPr>
        <w:jc w:val="left"/>
      </w:pPr>
      <w:r>
        <w:t>Risikofaktor: Das Gericht könnte ein Umgehungsfahrverbot (verzögerter Antritt, § 25 Abs. 2a StVG) als milderes Mittel anbieten. Mandant sollte darüber informiert werden, dass dies zwar eine Terminverschiebung erlaubt (bis zu 4 Monate), das Fahrverbot aber nicht aufhebt.</w:t>
      </w:r>
    </w:p>
    <w:p>
      <w:pPr>
        <w:jc w:val="left"/>
      </w:pPr>
      <w:r>
        <w:t>Alternativantrag: Falls Absehen vom Fahrverbot abgelehnt wird, Antrag auf Umwandlung in erhöhte Geldbuße (nach OLG-Praxis in bestimmten Bundesländern möglich, aber in Hamburg umstritten).</w:t>
      </w:r>
    </w:p>
    <w:p/>
    <w:p>
      <w:pPr>
        <w:pStyle w:val="Heading2"/>
      </w:pPr>
      <w:r>
        <w:rPr>
          <w:rFonts w:ascii="Times New Roman" w:hAnsi="Times New Roman"/>
        </w:rPr>
        <w:t>Entscheidungsempfehlung Kanzlei</w:t>
      </w:r>
    </w:p>
    <w:p>
      <w:pPr>
        <w:jc w:val="left"/>
      </w:pPr>
      <w:r>
        <w:t>Primärantrag: Absehen vom Fahrverbot gemäß § 4 Abs. 4 BKatV — Existenzgefährdung.</w:t>
      </w:r>
    </w:p>
    <w:p>
      <w:pPr>
        <w:jc w:val="left"/>
      </w:pPr>
      <w:r>
        <w:t>Hilfsantrag: Fahrverbot mit verzögertem Antritt (§ 25 Abs. 2a StVG) — Termin zum 01.02.2027.</w:t>
      </w:r>
    </w:p>
    <w:p>
      <w:pPr>
        <w:jc w:val="left"/>
      </w:pPr>
      <w:r>
        <w:t>Weiterer Hilfsantrag: Erhöhtes Bußgeld statt Fahrverbot (nach einschlägiger Landesrechtsprechung).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