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Vergleichsangebot / Opportunitätsüberlegungen</w:t>
      </w:r>
    </w:p>
    <w:p>
      <w:pPr>
        <w:jc w:val="left"/>
      </w:pPr>
      <w:r>
        <w:t>Bearbeiter: RA Lattermann</w:t>
      </w:r>
    </w:p>
    <w:p>
      <w:pPr>
        <w:jc w:val="left"/>
      </w:pPr>
      <w:r>
        <w:t>Datum: 02.10.2026</w:t>
      </w:r>
    </w:p>
    <w:p>
      <w:pPr>
        <w:jc w:val="left"/>
      </w:pPr>
      <w:r>
        <w:t>AZ: ML-2026-OWi-0188</w:t>
      </w:r>
    </w:p>
    <w:p/>
    <w:p>
      <w:pPr>
        <w:pStyle w:val="Heading2"/>
      </w:pPr>
      <w:r>
        <w:rPr>
          <w:rFonts w:ascii="Times New Roman" w:hAnsi="Times New Roman"/>
        </w:rPr>
        <w:t>Hintergrund</w:t>
      </w:r>
    </w:p>
    <w:p>
      <w:pPr>
        <w:jc w:val="left"/>
      </w:pPr>
      <w:r>
        <w:t>Im Vorfeld der Hauptverhandlung am 24.10.2026 hat RA Lattermann mit der zuständigen Staatsanwältin Hamburg (StA Drexler-Moosberg, StA Hamburg, Abt. 711) Kontakt aufgenommen, um eine gütliche Einigung zu eruieren.</w:t>
      </w:r>
    </w:p>
    <w:p>
      <w:pPr>
        <w:jc w:val="left"/>
      </w:pPr>
      <w:r>
        <w:t>Die Staatsanwaltschaft ist im OWi-Verfahren nicht Anklagebehörde im klassischen Sinne; die Verfahrensherrschaft liegt bei der Bußgeldstelle bzw. nach Abgabe beim Amtsgericht. Jedoch kann gemäß § 47 OWiG das Verfahren jederzeit eingestellt werden, wenn die Verfolgung nicht mehr im öffentlichen Interesse liegt.</w:t>
      </w:r>
    </w:p>
    <w:p/>
    <w:p>
      <w:pPr>
        <w:pStyle w:val="Heading2"/>
      </w:pPr>
      <w:r>
        <w:rPr>
          <w:rFonts w:ascii="Times New Roman" w:hAnsi="Times New Roman"/>
        </w:rPr>
        <w:t>Vergleichsangebot der Staatsanwaltschaft (Akteninhalt)</w:t>
      </w:r>
    </w:p>
    <w:p>
      <w:pPr>
        <w:jc w:val="left"/>
      </w:pPr>
      <w:r>
        <w:t>Schreiben StA Hamburg, Abt. 711, vom 28.09.2026 an Kanzlei Schwingenstein-Roosendaal:</w:t>
      </w:r>
    </w:p>
    <w:p>
      <w:pPr>
        <w:jc w:val="left"/>
      </w:pPr>
      <w:r>
        <w:t>Betreff: 188 OWi 188/26 — Möglichkeit gütliche Einigung</w:t>
      </w:r>
    </w:p>
    <w:p>
      <w:pPr>
        <w:jc w:val="left"/>
      </w:pPr>
      <w:r>
        <w:t>StA Drexler-Moosberg teilt mit:</w:t>
      </w:r>
    </w:p>
    <w:p>
      <w:pPr>
        <w:pStyle w:val="ListBullet"/>
      </w:pPr>
      <w:r>
        <w:t>Die Staatsanwaltschaft ist bereit, einer Einstellung gemäß § 47 OWiG zuzustimmen, wenn der Betroffene folgendes akzeptiert:</w:t>
      </w:r>
    </w:p>
    <w:p>
      <w:pPr>
        <w:jc w:val="left"/>
      </w:pPr>
      <w:r>
        <w:t>(1) Zahlung eines erhöhten Bußgeldes von 480 EUR (doppeltes Regelbuße)</w:t>
      </w:r>
    </w:p>
    <w:p>
      <w:pPr>
        <w:jc w:val="left"/>
      </w:pPr>
      <w:r>
        <w:t>(2) Kein Fahrverbot</w:t>
      </w:r>
    </w:p>
    <w:p>
      <w:pPr>
        <w:jc w:val="left"/>
      </w:pPr>
      <w:r>
        <w:t>(3) 2 Punkte FAER (unvermeidlich, da gesetzlich vorgeschrieben)</w:t>
      </w:r>
    </w:p>
    <w:p>
      <w:pPr>
        <w:jc w:val="left"/>
      </w:pPr>
      <w:r>
        <w:t>(4) Verzicht auf Einspruch gegen eine modifizierte Neufassung des Bußgeldbescheids</w:t>
      </w:r>
    </w:p>
    <w:p>
      <w:pPr>
        <w:pStyle w:val="ListBullet"/>
      </w:pPr>
      <w:r>
        <w:t>Alternativ (falls kein Fahrverbot politisch durchsetzbar): Fahrverbot mit 4-monatigem verzögerten Antritt + Regelbuße 240 EUR + 2 Punkte.</w:t>
      </w:r>
    </w:p>
    <w:p/>
    <w:p>
      <w:pPr>
        <w:pStyle w:val="Heading2"/>
      </w:pPr>
      <w:r>
        <w:rPr>
          <w:rFonts w:ascii="Times New Roman" w:hAnsi="Times New Roman"/>
        </w:rPr>
        <w:t>Kanzleianalyse Vergleichsangebot</w:t>
      </w:r>
    </w:p>
    <w:p>
      <w:pPr>
        <w:jc w:val="left"/>
      </w:pPr>
      <w:r>
        <w:rPr>
          <w:b/>
        </w:rPr>
        <w:t>Variante 1 — Erhöhte Geldbuße, kein Fahrverbot:</w:t>
      </w:r>
    </w:p>
    <w:p>
      <w:pPr>
        <w:jc w:val="left"/>
      </w:pPr>
      <w:r>
        <w:t>Vorteile:</w:t>
      </w:r>
    </w:p>
    <w:p>
      <w:pPr>
        <w:pStyle w:val="ListBullet"/>
      </w:pPr>
      <w:r>
        <w:t>Kein Fahrverbot; Betrieb läuft ungestört weiter</w:t>
      </w:r>
    </w:p>
    <w:p>
      <w:pPr>
        <w:pStyle w:val="ListBullet"/>
      </w:pPr>
      <w:r>
        <w:t>Kein Risiko einer Verurteilung mit Fahrverbot in der Hauptverhandlung</w:t>
      </w:r>
    </w:p>
    <w:p>
      <w:pPr>
        <w:pStyle w:val="ListBullet"/>
      </w:pPr>
      <w:r>
        <w:t>Keine weiteren Verfahrenskosten</w:t>
      </w:r>
    </w:p>
    <w:p>
      <w:pPr>
        <w:jc w:val="left"/>
      </w:pPr>
      <w:r>
        <w:t>Nachteile:</w:t>
      </w:r>
    </w:p>
    <w:p>
      <w:pPr>
        <w:pStyle w:val="ListBullet"/>
      </w:pPr>
      <w:r>
        <w:t>2 Punkte FAER bleiben (laut StA unvermeidlich)</w:t>
      </w:r>
    </w:p>
    <w:p>
      <w:pPr>
        <w:pStyle w:val="ListBullet"/>
      </w:pPr>
      <w:r>
        <w:t>480 EUR Bußgeld statt 240 EUR</w:t>
      </w:r>
    </w:p>
    <w:p>
      <w:pPr>
        <w:pStyle w:val="ListBullet"/>
      </w:pPr>
      <w:r>
        <w:t>Kein Freispruch; Tatvorwurf bleibt bestehen</w:t>
      </w:r>
    </w:p>
    <w:p>
      <w:pPr>
        <w:jc w:val="left"/>
      </w:pPr>
      <w:r>
        <w:t>Empfehlung Kanzlei zu Variante 1: Grundsätzlich attraktiv, wenn das SV-Gutachten nicht zur vollständigen Freisprechung führt. Voraussetzung: Mandant muss die doppelte Geldbuße und die 2 Punkte akzeptieren.</w:t>
      </w:r>
    </w:p>
    <w:p>
      <w:pPr>
        <w:jc w:val="left"/>
      </w:pPr>
      <w:r>
        <w:rPr>
          <w:b/>
        </w:rPr>
        <w:t>Variante 2 — Fahrverbot mit verzögertem Antritt:</w:t>
      </w:r>
    </w:p>
    <w:p>
      <w:pPr>
        <w:jc w:val="left"/>
      </w:pPr>
      <w:r>
        <w:t>Vorteile:</w:t>
      </w:r>
    </w:p>
    <w:p>
      <w:pPr>
        <w:pStyle w:val="ListBullet"/>
      </w:pPr>
      <w:r>
        <w:t>Zeitpuffer für betriebliche Vorbereitung (bis Feb. 2027)</w:t>
      </w:r>
    </w:p>
    <w:p>
      <w:pPr>
        <w:pStyle w:val="ListBullet"/>
      </w:pPr>
      <w:r>
        <w:t>Regelbuße 240 EUR</w:t>
      </w:r>
    </w:p>
    <w:p>
      <w:pPr>
        <w:jc w:val="left"/>
      </w:pPr>
      <w:r>
        <w:t>Nachteile:</w:t>
      </w:r>
    </w:p>
    <w:p>
      <w:pPr>
        <w:pStyle w:val="ListBullet"/>
      </w:pPr>
      <w:r>
        <w:t>Fahrverbot bleibt</w:t>
      </w:r>
    </w:p>
    <w:p>
      <w:pPr>
        <w:pStyle w:val="ListBullet"/>
      </w:pPr>
      <w:r>
        <w:t>Betriebliche Probleme werden nur verschoben</w:t>
      </w:r>
    </w:p>
    <w:p>
      <w:pPr>
        <w:pStyle w:val="ListBullet"/>
      </w:pPr>
      <w:r>
        <w:t>Continental-Problematik wird dadurch nicht gelöst</w:t>
      </w:r>
    </w:p>
    <w:p>
      <w:pPr>
        <w:jc w:val="left"/>
      </w:pPr>
      <w:r>
        <w:t>Empfehlung Kanzlei zu Variante 2: Nur als letztes Mittel, wenn Variante 1 scheitert.</w:t>
      </w:r>
    </w:p>
    <w:p/>
    <w:p>
      <w:pPr>
        <w:pStyle w:val="Heading2"/>
      </w:pPr>
      <w:r>
        <w:rPr>
          <w:rFonts w:ascii="Times New Roman" w:hAnsi="Times New Roman"/>
        </w:rPr>
        <w:t>Entscheidung Mandant</w:t>
      </w:r>
    </w:p>
    <w:p>
      <w:pPr>
        <w:jc w:val="left"/>
      </w:pPr>
      <w:r>
        <w:t>Mandant wurde am 05.10.2026 über beide Varianten informiert. Er präferiert Variante 1 (Zahlung, kein Fahrverbot), sofern das SV-Gutachten nicht zum Freispruch führt. Primärstrategie bleibt zunächst: Hauptverhandlung mit vollständiger Verteidigung und Freispruchangebot.</w:t>
      </w:r>
    </w:p>
    <w:p/>
    <w:p>
      <w:pPr>
        <w:pStyle w:val="Heading2"/>
      </w:pPr>
      <w:r>
        <w:rPr>
          <w:rFonts w:ascii="Times New Roman" w:hAnsi="Times New Roman"/>
        </w:rPr>
        <w:t>Kommunikation mit StA</w:t>
      </w:r>
    </w:p>
    <w:p>
      <w:pPr>
        <w:jc w:val="left"/>
      </w:pPr>
      <w:r>
        <w:t>RA Lattermann teilt StA Drexler-Moosberg mit Schreiben vom 07.10.2026 mit, dass die Entscheidung nach der Hauptverhandlung getroffen wird und der Mandant keine vorherige Einigung eingeht, solange die Freispruchoption besteht.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