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Strafmildernde Erwägungen — Absehen vom Fahrverbot § 4 BKatV</w:t>
      </w:r>
    </w:p>
    <w:p>
      <w:pPr>
        <w:jc w:val="left"/>
      </w:pPr>
      <w:r>
        <w:t>Bearbeiter: RA Lattermann</w:t>
      </w:r>
    </w:p>
    <w:p>
      <w:pPr>
        <w:jc w:val="left"/>
      </w:pPr>
      <w:r>
        <w:t>Datum: 18.10.2026</w:t>
      </w:r>
    </w:p>
    <w:p/>
    <w:p>
      <w:pPr>
        <w:pStyle w:val="Heading2"/>
      </w:pPr>
      <w:r>
        <w:rPr>
          <w:rFonts w:ascii="Times New Roman" w:hAnsi="Times New Roman"/>
        </w:rPr>
        <w:t>Rechtsgrundlage</w:t>
      </w:r>
    </w:p>
    <w:p>
      <w:pPr>
        <w:jc w:val="left"/>
      </w:pPr>
      <w:r>
        <w:t>§ 4 Abs. 4 BKatV (Bußgeldkatalog-Verordnung): Das Regelfahrverbot kann entfallen, wenn gegenüber dem Regelfall ein besonderer Umstand vorliegt, der die Anordnung des Fahrverbots als unverhältnismäßig erscheinen lässt. Der BGH hat in seinem Beschluss vom 11.09.1997 (Az. 4 StR 638/96) klargestellt, dass nicht jede berufliche Erschwernis ausreicht; es bedarf einer qualifizierten Härte.</w:t>
      </w:r>
    </w:p>
    <w:p>
      <w:pPr>
        <w:jc w:val="left"/>
      </w:pPr>
      <w:r>
        <w:t>§ 25 Abs. 1 StVG: Das Gericht kann — bei entsprechender gesetzlicher Regelung — von einem Fahrverbot absehen, wenn besondere Umstände vorliegen. Die Kombination aus § 25 StVG und § 4 BKatV eröffnet dem Tatgericht Ermessensspielraum.</w:t>
      </w:r>
    </w:p>
    <w:p/>
    <w:p>
      <w:pPr>
        <w:pStyle w:val="Heading2"/>
      </w:pPr>
      <w:r>
        <w:rPr>
          <w:rFonts w:ascii="Times New Roman" w:hAnsi="Times New Roman"/>
        </w:rPr>
        <w:t>Strafmildernde Umstände im vorliegenden Fall</w:t>
      </w:r>
    </w:p>
    <w:p>
      <w:pPr>
        <w:pStyle w:val="Heading3"/>
      </w:pPr>
      <w:r>
        <w:rPr>
          <w:rFonts w:ascii="Times New Roman" w:hAnsi="Times New Roman"/>
        </w:rPr>
        <w:t>1. Geringes Vorleben</w:t>
      </w:r>
    </w:p>
    <w:p>
      <w:pPr>
        <w:jc w:val="left"/>
      </w:pPr>
      <w:r>
        <w:t>Mandant hat nur 1 Eintrag im FAER (1 Punkt, 2024). Er ist kein Wiederholungstäter mit Abstandsverstößen. Die Vorbelastung betrifft einen anderen Verstoßtyp (Geschwindigkeit).</w:t>
      </w:r>
    </w:p>
    <w:p>
      <w:pPr>
        <w:pStyle w:val="Heading3"/>
      </w:pPr>
      <w:r>
        <w:rPr>
          <w:rFonts w:ascii="Times New Roman" w:hAnsi="Times New Roman"/>
        </w:rPr>
        <w:t>2. Kooperationsbereitschaft</w:t>
      </w:r>
    </w:p>
    <w:p>
      <w:pPr>
        <w:jc w:val="left"/>
      </w:pPr>
      <w:r>
        <w:t>Mandant hat vollständig kooperiert, ist zur Verhandlung erschienen, hat die Fahrereigenschaft freiwillig bestätigt (wenngleich dies die Fahreridentifizierung ersparte) und alle Belege rechtzeitig vorgelegt.</w:t>
      </w:r>
    </w:p>
    <w:p>
      <w:pPr>
        <w:pStyle w:val="Heading3"/>
      </w:pPr>
      <w:r>
        <w:rPr>
          <w:rFonts w:ascii="Times New Roman" w:hAnsi="Times New Roman"/>
        </w:rPr>
        <w:t>3. Unverschuldete Messunsicherheit</w:t>
      </w:r>
    </w:p>
    <w:p>
      <w:pPr>
        <w:jc w:val="left"/>
      </w:pPr>
      <w:r>
        <w:t>Das SV-Gutachten zeigt, dass die BAMV-Messung unter nicht-standardisierten Bedingungen erfolgte. Obwohl der Tatbestand bei allen möglichen Messergebnissen erfüllt ist, wäre der tatsächliche Abstand möglicherweise 30–32 m statt 28 m. Bei 32 m wäre die Unterschreitung „nur" 18 m statt 22 m — immer noch erheblich, aber geringer.</w:t>
      </w:r>
    </w:p>
    <w:p>
      <w:pPr>
        <w:pStyle w:val="Heading3"/>
      </w:pPr>
      <w:r>
        <w:rPr>
          <w:rFonts w:ascii="Times New Roman" w:hAnsi="Times New Roman"/>
        </w:rPr>
        <w:t>4. Soziale und wirtschaftliche Folgen</w:t>
      </w:r>
    </w:p>
    <w:p>
      <w:pPr>
        <w:jc w:val="left"/>
      </w:pPr>
      <w:r>
        <w:t>Wie im Aktenstück 13 ausgeführt: Mandant ist alleiniger GF der Norderhof Spedition GmbH mit 38 Mitarbeitern; Fahrverbot würde den Betrieb unmittelbar gefährden; laufende Continental-Problematik verschärft die Situation.</w:t>
      </w:r>
    </w:p>
    <w:p>
      <w:pPr>
        <w:pStyle w:val="Heading3"/>
      </w:pPr>
      <w:r>
        <w:rPr>
          <w:rFonts w:ascii="Times New Roman" w:hAnsi="Times New Roman"/>
        </w:rPr>
        <w:t>5. Keine Gefährdung anderer Verkehrsteilnehmer</w:t>
      </w:r>
    </w:p>
    <w:p>
      <w:pPr>
        <w:jc w:val="left"/>
      </w:pPr>
      <w:r>
        <w:t>Der Abstandsverstoß erfolgte auf der Autobahn bei konstantem Verkehrsfluss, trockener Fahrbahn und guter Sicht. Eine konkrete Gefährdungssituation (Notbremsung, Auffahrunfall) ist nicht eingetreten und ist in den Akten auch nicht dokumentiert.</w:t>
      </w:r>
    </w:p>
    <w:p>
      <w:pPr>
        <w:pStyle w:val="Heading3"/>
      </w:pPr>
      <w:r>
        <w:rPr>
          <w:rFonts w:ascii="Times New Roman" w:hAnsi="Times New Roman"/>
        </w:rPr>
        <w:t>6. Tateinheit mit Geschwindigkeit</w:t>
      </w:r>
    </w:p>
    <w:p>
      <w:pPr>
        <w:jc w:val="left"/>
      </w:pPr>
      <w:r>
        <w:t>Der gleichzeitige Geschwindigkeitsverstoß wurde eingestellt. Die Doppelsanktionierung — Bußgeld für Abstand plus separates Fahrverbot — wäre bei nur einem Tatvorwurf unverhältnismäßig.</w:t>
      </w:r>
    </w:p>
    <w:p/>
    <w:p>
      <w:pPr>
        <w:pStyle w:val="Heading2"/>
      </w:pPr>
      <w:r>
        <w:rPr>
          <w:rFonts w:ascii="Times New Roman" w:hAnsi="Times New Roman"/>
        </w:rPr>
        <w:t>Vergleich mit Regelfall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Regelfall § 4 BKatV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Vorliegender Fall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Vorleben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Vorgaben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Punkt (gering)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 des Verstoßes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Abstand unter halbem Tachowert, LKW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Abstand 28 m statt 50 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Gefährdungsgrad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Abstrakt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konkrete Gefährdung dokumentiert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Berufliche Folgen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Allgemeine Unannehmlichkeit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Existenzgefährdung GmbH (belegt)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Messqualität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Standardisiert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standardisiert (SV-Gutachten)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Schlussfolgerung</w:t>
      </w:r>
    </w:p>
    <w:p>
      <w:pPr>
        <w:jc w:val="left"/>
      </w:pPr>
      <w:r>
        <w:t>Der vorliegende Fall weist mindestens 4 von 6 der in der Rechtsprechung anerkannten Absehgründe auf. Das Absehen vom Fahrverbot ist geboten. Das Gericht hat freies Ermessen; auf Basis der vorgelegten Belege wird Absehen primär beantragt.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