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Rechtsbeschwerde-Prüfung — OLG Hamburg</w:t>
      </w:r>
    </w:p>
    <w:p>
      <w:pPr>
        <w:jc w:val="left"/>
      </w:pPr>
      <w:r>
        <w:t>Bearbeiter: RA Lattermann</w:t>
      </w:r>
    </w:p>
    <w:p>
      <w:pPr>
        <w:jc w:val="left"/>
      </w:pPr>
      <w:r>
        <w:t>Datum: 10.11.2026 (nach Zustellung schriftliche Urteilsgründe 05.11.2026)</w:t>
      </w:r>
    </w:p>
    <w:p/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>Das AG Hamburg-Altona hat am 24.10.2026 den Betroffenen zu 240 EUR Geldbuße und 2 Punkten FAER verurteilt; von einem Fahrverbot wurde abgesehen; der Geschwindigkeitsvorwurf wurde eingestellt.</w:t>
      </w:r>
    </w:p>
    <w:p>
      <w:pPr>
        <w:jc w:val="left"/>
      </w:pPr>
      <w:r>
        <w:t>Der Betroffene hat nach Zustellung der schriftlichen Urteilsgründe zu entscheiden, ob er Rechtsbeschwerde einlegt (§ 79 OWiG).</w:t>
      </w:r>
    </w:p>
    <w:p/>
    <w:p>
      <w:pPr>
        <w:pStyle w:val="Heading2"/>
      </w:pPr>
      <w:r>
        <w:rPr>
          <w:rFonts w:ascii="Times New Roman" w:hAnsi="Times New Roman"/>
        </w:rPr>
        <w:t>Rechtsbeschwerde gemäß § 79 OWiG</w:t>
      </w:r>
    </w:p>
    <w:p>
      <w:pPr>
        <w:jc w:val="left"/>
      </w:pPr>
      <w:r>
        <w:rPr>
          <w:b/>
        </w:rPr>
        <w:t>Zulässigkeitsvoraussetzungen:</w:t>
      </w:r>
    </w:p>
    <w:p>
      <w:pPr>
        <w:pStyle w:val="ListNumber"/>
      </w:pPr>
      <w:r>
        <w:t>Rechtsbeschwerde ist nur statthaft, wenn</w:t>
      </w:r>
    </w:p>
    <w:p>
      <w:pPr>
        <w:pStyle w:val="ListBullet"/>
      </w:pPr>
      <w:r>
        <w:t xml:space="preserve">die Geldbuße mehr als 250 EUR beträgt (§ 79 Abs. 1 Nr. 1 OWiG) — im vorliegenden Fall: 240 EUR, also </w:t>
      </w:r>
      <w:r>
        <w:rPr>
          <w:b/>
        </w:rPr>
        <w:t>nicht erfüllt</w:t>
      </w:r>
      <w:r>
        <w:t>, oder</w:t>
      </w:r>
    </w:p>
    <w:p>
      <w:pPr>
        <w:pStyle w:val="ListBullet"/>
      </w:pPr>
      <w:r>
        <w:t xml:space="preserve">das Fahrverbot angeordnet wurde (§ 79 Abs. 1 Nr. 2 OWiG) — im vorliegenden Fall: </w:t>
      </w:r>
      <w:r>
        <w:rPr>
          <w:b/>
        </w:rPr>
        <w:t>kein Fahrverbot</w:t>
      </w:r>
      <w:r>
        <w:t xml:space="preserve">, also </w:t>
      </w:r>
      <w:r>
        <w:rPr>
          <w:b/>
        </w:rPr>
        <w:t>nicht erfüllt</w:t>
      </w:r>
      <w:r>
        <w:t>, oder</w:t>
      </w:r>
    </w:p>
    <w:p>
      <w:pPr>
        <w:pStyle w:val="ListBullet"/>
      </w:pPr>
      <w:r>
        <w:t>das OLG die Rechtsbeschwerde zur Fortbildung des Rechts oder zur Sicherung einer einheitlichen Rechtsprechung zulässt (§ 80 Abs. 1 OWiG).</w:t>
      </w:r>
    </w:p>
    <w:p>
      <w:pPr>
        <w:pStyle w:val="ListNumber"/>
      </w:pPr>
      <w:r>
        <w:t>Zulassungsrechtsbeschwerde (§ 80 OWiG): Das OLG kann die Rechtsbeschwerde zulassen, wenn die Rechtssache grundsätzliche Bedeutung hat.</w:t>
      </w:r>
    </w:p>
    <w:p>
      <w:pPr>
        <w:jc w:val="left"/>
      </w:pPr>
      <w:r>
        <w:rPr>
          <w:b/>
        </w:rPr>
        <w:t>Ergebnis Zulässigkeit:</w:t>
      </w:r>
    </w:p>
    <w:p>
      <w:pPr>
        <w:jc w:val="left"/>
      </w:pPr>
      <w:r>
        <w:t>Eine zwingende Rechtsbeschwerde nach § 79 Abs. 1 OWiG scheidet aus, da weder die Bußgeldgrenze (250 EUR) erreicht ist noch ein Fahrverbot angeordnet wurde.</w:t>
      </w:r>
    </w:p>
    <w:p>
      <w:pPr>
        <w:jc w:val="left"/>
      </w:pPr>
      <w:r>
        <w:t>Eine Zulassungsrechtsbeschwerde nach § 80 OWiG wäre theoretisch möglich, wenn das OLG die Frage der BAMV-Aufstellungskonformität als grundsätzlich ansieht. Dies ist jedoch unwahrscheinlich, da bereits OLG-Entscheidungen zur Standardisierungsfrage existieren.</w:t>
      </w:r>
    </w:p>
    <w:p/>
    <w:p>
      <w:pPr>
        <w:pStyle w:val="Heading2"/>
      </w:pPr>
      <w:r>
        <w:rPr>
          <w:rFonts w:ascii="Times New Roman" w:hAnsi="Times New Roman"/>
        </w:rPr>
        <w:t>Prüfung Rechtsbeschwerde auf Bußgeld und Punkte</w:t>
      </w:r>
    </w:p>
    <w:p>
      <w:pPr>
        <w:jc w:val="left"/>
      </w:pPr>
      <w:r>
        <w:rPr>
          <w:b/>
        </w:rPr>
        <w:t>Inhalt einer möglichen Rechtsbeschwerde:</w:t>
      </w:r>
    </w:p>
    <w:p>
      <w:pPr>
        <w:jc w:val="left"/>
      </w:pPr>
      <w:r>
        <w:t>Falls eine Zulassung angestrebt wird, könnten folgende Rechtsfragen vorgebracht werden:</w:t>
      </w:r>
    </w:p>
    <w:p>
      <w:pPr>
        <w:pStyle w:val="ListNumber"/>
      </w:pPr>
      <w:r>
        <w:t>Hat das AG rechtlich korrekt entschieden, dass der Tatbestand trotz nicht-standardisierter Messung (Aufstellungsabweichung) erfüllt ist?</w:t>
      </w:r>
    </w:p>
    <w:p>
      <w:pPr>
        <w:pStyle w:val="ListNumber"/>
      </w:pPr>
      <w:r>
        <w:t>Hat das AG die Fahreridentifizierung (allein auf Basis Mandantenaussage, nachdem Foto ungeeignet) korrekt bewertet?</w:t>
      </w:r>
    </w:p>
    <w:p>
      <w:pPr>
        <w:jc w:val="left"/>
      </w:pPr>
      <w:r>
        <w:rPr>
          <w:b/>
        </w:rPr>
        <w:t>Erfolgsaussichten:</w:t>
      </w:r>
      <w:r>
        <w:t xml:space="preserve"> Gering. Das Gericht hat die Messung inhaltlich gewürdigt (Tatbestand erfüllt auch bei 32 m) und die Fahreridentifizierung auf Basis der eigenen Aussage des Mandanten gestützt. Dies ist nach BGH-Rechtsprechung zulässig.</w:t>
      </w:r>
    </w:p>
    <w:p/>
    <w:p>
      <w:pPr>
        <w:pStyle w:val="Heading2"/>
      </w:pPr>
      <w:r>
        <w:rPr>
          <w:rFonts w:ascii="Times New Roman" w:hAnsi="Times New Roman"/>
        </w:rPr>
        <w:t>Wirtschaftlichkeitsprüfung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Rechtsbeschwerde Anwaltsgebühren (§ 13 RVG, Verfahrensgebühr Rechtsmittel)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800–1.200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SV-Gutachten (Ergänzung)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400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Gerichtskosten OLG (Pauschal)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1.400–1.800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Streitwert (Bußgeld)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240 EUR + 2 Punkte</w:t>
            </w:r>
          </w:p>
        </w:tc>
      </w:tr>
    </w:tbl>
    <w:p>
      <w:pPr>
        <w:jc w:val="left"/>
      </w:pPr>
      <w:r>
        <w:rPr>
          <w:b/>
        </w:rPr>
        <w:t>Ergebnis:</w:t>
      </w:r>
      <w:r>
        <w:t xml:space="preserve"> Eine Rechtsbeschwerde ist wirtschaftlich nicht sinnvoll. Der Mandant würde mehr ausgeben als er sparen könnte.</w:t>
      </w:r>
    </w:p>
    <w:p/>
    <w:p>
      <w:pPr>
        <w:pStyle w:val="Heading2"/>
      </w:pPr>
      <w:r>
        <w:rPr>
          <w:rFonts w:ascii="Times New Roman" w:hAnsi="Times New Roman"/>
        </w:rPr>
        <w:t>Empfehlung Kanzlei</w:t>
      </w:r>
    </w:p>
    <w:p>
      <w:pPr>
        <w:jc w:val="left"/>
      </w:pPr>
      <w:r>
        <w:rPr>
          <w:b/>
        </w:rPr>
        <w:t>Kein Rechtsmittel einlegen.</w:t>
      </w:r>
      <w:r>
        <w:t xml:space="preserve"> Das Urteil ist für den Mandanten im Ergebnis akzeptabel: kein Fahrverbot (Hauptziel erreicht), Geschwindigkeit eingestellt (Tateinheit anerkannt), 2 Punkte und 240 EUR als Restrisiko. Eine Rechtsbeschwerde hätte bei der gegebenen Konstellation (eigene Fahrerzusage, Tatbestand eindeutig erfüllt bei 32 m) keine reale Freispruchperspektive.</w:t>
      </w:r>
    </w:p>
    <w:p>
      <w:pPr>
        <w:jc w:val="left"/>
      </w:pPr>
      <w:r>
        <w:t>Mandant wird am 12.11.2026 über diese Empfehlung informiert. Er teilt mit, er akzeptiere die Empfehlung. Das Urteil wird rechtskräftig.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