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Checkliste Mandantengespräch und Mandatsabschluss</w:t>
      </w:r>
    </w:p>
    <w:p>
      <w:pPr>
        <w:jc w:val="left"/>
      </w:pPr>
      <w:r>
        <w:t>Kanzlei Schwingenstein-Roosendaal Strafrechtspartner</w:t>
      </w:r>
    </w:p>
    <w:p>
      <w:pPr>
        <w:jc w:val="left"/>
      </w:pPr>
      <w:r>
        <w:t>RA Lattermann</w:t>
      </w:r>
    </w:p>
    <w:p>
      <w:pPr>
        <w:jc w:val="left"/>
      </w:pPr>
      <w:r>
        <w:t>Datum Abschlussgespräch: 15.12.2026</w:t>
      </w:r>
    </w:p>
    <w:p>
      <w:pPr>
        <w:jc w:val="left"/>
      </w:pPr>
      <w:r>
        <w:t>AZ: ML-2026-OWi-0188</w:t>
      </w:r>
    </w:p>
    <w:p/>
    <w:p>
      <w:pPr>
        <w:pStyle w:val="Heading2"/>
      </w:pPr>
      <w:r>
        <w:rPr>
          <w:rFonts w:ascii="Times New Roman" w:hAnsi="Times New Roman"/>
        </w:rPr>
        <w:t>Gesprächszusammenfassung</w:t>
      </w:r>
    </w:p>
    <w:p>
      <w:pPr>
        <w:jc w:val="left"/>
      </w:pPr>
      <w:r>
        <w:t>Mandant Henrik Norderhof-Tannenmoor erscheint zum Abschlussgespräch. Er ist mit dem Ergebnis des Verfahrens zufrieden: Das Fahrverbot wurde vermieden. Er nimmt das Bußgeld von 240 EUR und die 2 FAER-Punkte als akzeptables Ergebnis an.</w:t>
      </w:r>
    </w:p>
    <w:p/>
    <w:p>
      <w:pPr>
        <w:pStyle w:val="Heading2"/>
      </w:pPr>
      <w:r>
        <w:rPr>
          <w:rFonts w:ascii="Times New Roman" w:hAnsi="Times New Roman"/>
        </w:rPr>
        <w:t>Abschlusscheckliste</w:t>
      </w:r>
    </w:p>
    <w:p>
      <w:pPr>
        <w:pStyle w:val="Heading3"/>
      </w:pPr>
      <w:r>
        <w:rPr>
          <w:rFonts w:ascii="Times New Roman" w:hAnsi="Times New Roman"/>
        </w:rPr>
        <w:t>Verfahrensergebnis</w:t>
      </w:r>
    </w:p>
    <w:p>
      <w:pPr>
        <w:pStyle w:val="ListBullet"/>
      </w:pPr>
      <w:r>
        <w:t>[x] Bußgeldbescheid rechtskräftig (Dezember 2026)</w:t>
      </w:r>
    </w:p>
    <w:p>
      <w:pPr>
        <w:pStyle w:val="ListBullet"/>
      </w:pPr>
      <w:r>
        <w:t>[x] Kein Fahrverbot — Hauptziel erreicht</w:t>
      </w:r>
    </w:p>
    <w:p>
      <w:pPr>
        <w:pStyle w:val="ListBullet"/>
      </w:pPr>
      <w:r>
        <w:t>[x] Geschwindigkeitsvorwurf eingestellt (§ 47 OWiG)</w:t>
      </w:r>
    </w:p>
    <w:p>
      <w:pPr>
        <w:pStyle w:val="ListBullet"/>
      </w:pPr>
      <w:r>
        <w:t>[x] Rechtsbeschwerde nicht eingelegt (Empfehlung Kanzlei angenommen)</w:t>
      </w:r>
    </w:p>
    <w:p>
      <w:pPr>
        <w:pStyle w:val="ListBullet"/>
      </w:pPr>
      <w:r>
        <w:t>[x] Urteilsabschrift dem Mandanten übermittelt</w:t>
      </w:r>
    </w:p>
    <w:p>
      <w:pPr>
        <w:pStyle w:val="Heading3"/>
      </w:pPr>
      <w:r>
        <w:rPr>
          <w:rFonts w:ascii="Times New Roman" w:hAnsi="Times New Roman"/>
        </w:rPr>
        <w:t>Finanzielle Abwicklung</w:t>
      </w:r>
    </w:p>
    <w:p>
      <w:pPr>
        <w:pStyle w:val="ListBullet"/>
      </w:pPr>
      <w:r>
        <w:t>[x] Bußgeld 240 EUR an Bußgeldstelle Niedersachsen überwiesen (01.12.2026)</w:t>
      </w:r>
    </w:p>
    <w:p>
      <w:pPr>
        <w:pStyle w:val="ListBullet"/>
      </w:pPr>
      <w:r>
        <w:t>[x] Gerichtskosten 461,40 EUR beglichen</w:t>
      </w:r>
    </w:p>
    <w:p>
      <w:pPr>
        <w:pStyle w:val="ListBullet"/>
      </w:pPr>
      <w:r>
        <w:t>[x] ARAG-Erstattungsantrag gestellt (28.11.2026)</w:t>
      </w:r>
    </w:p>
    <w:p>
      <w:pPr>
        <w:pStyle w:val="ListBullet"/>
      </w:pPr>
      <w:r>
        <w:t>[x] ARAG-Erstattung 2.783,35 EUR eingetroffen (12.12.2026)</w:t>
      </w:r>
    </w:p>
    <w:p>
      <w:pPr>
        <w:pStyle w:val="ListBullet"/>
      </w:pPr>
      <w:r>
        <w:t>[x] Kanzleihonorar vollständig abgerechnet</w:t>
      </w:r>
    </w:p>
    <w:p>
      <w:pPr>
        <w:pStyle w:val="Heading3"/>
      </w:pPr>
      <w:r>
        <w:rPr>
          <w:rFonts w:ascii="Times New Roman" w:hAnsi="Times New Roman"/>
        </w:rPr>
        <w:t>FAER und Fahreignung</w:t>
      </w:r>
    </w:p>
    <w:p>
      <w:pPr>
        <w:pStyle w:val="ListBullet"/>
      </w:pPr>
      <w:r>
        <w:t>[x] Mandant informiert über aktuellen Punktestand: 3 Punkte</w:t>
      </w:r>
    </w:p>
    <w:p>
      <w:pPr>
        <w:pStyle w:val="ListBullet"/>
      </w:pPr>
      <w:r>
        <w:t>[x] Mandant informiert über Tilgungsdaten (Eintrag Nr. 1: Feb. 2027; Eintrag Nr. 2: Jun. 2029)</w:t>
      </w:r>
    </w:p>
    <w:p>
      <w:pPr>
        <w:pStyle w:val="ListBullet"/>
      </w:pPr>
      <w:r>
        <w:t>[x] Empfehlung ausgesprochen: Keine weiteren Verkehrsverstöße</w:t>
      </w:r>
    </w:p>
    <w:p>
      <w:pPr>
        <w:pStyle w:val="ListBullet"/>
      </w:pPr>
      <w:r>
        <w:t>[x] Freiwilliger Fahreignungskurs erläutert (Mandant: „Werde ich erwägen")</w:t>
      </w:r>
    </w:p>
    <w:p>
      <w:pPr>
        <w:pStyle w:val="Heading3"/>
      </w:pPr>
      <w:r>
        <w:rPr>
          <w:rFonts w:ascii="Times New Roman" w:hAnsi="Times New Roman"/>
        </w:rPr>
        <w:t>Betriebliche Situation</w:t>
      </w:r>
    </w:p>
    <w:p>
      <w:pPr>
        <w:pStyle w:val="ListBullet"/>
      </w:pPr>
      <w:r>
        <w:t>[x] Continental-Schreiben: Mandant hat Continental persönlich kontaktiert; Situation entspannt</w:t>
      </w:r>
    </w:p>
    <w:p>
      <w:pPr>
        <w:pStyle w:val="ListBullet"/>
      </w:pPr>
      <w:r>
        <w:t>[x] Fahrerlaubnis CE bleibt gültig — keine betrieblichen Einschränkungen</w:t>
      </w:r>
    </w:p>
    <w:p>
      <w:pPr>
        <w:pStyle w:val="Heading3"/>
      </w:pPr>
      <w:r>
        <w:rPr>
          <w:rFonts w:ascii="Times New Roman" w:hAnsi="Times New Roman"/>
        </w:rPr>
        <w:t>Dokumentation</w:t>
      </w:r>
    </w:p>
    <w:p>
      <w:pPr>
        <w:pStyle w:val="ListBullet"/>
      </w:pPr>
      <w:r>
        <w:t>[x] Vollständige Akte geschlossen und archiviert</w:t>
      </w:r>
    </w:p>
    <w:p>
      <w:pPr>
        <w:pStyle w:val="ListBullet"/>
      </w:pPr>
      <w:r>
        <w:t>[x] Mandant erhält Aktenausdruck (wichtigste Dokumente) auf Wunsch</w:t>
      </w:r>
    </w:p>
    <w:p>
      <w:pPr>
        <w:pStyle w:val="ListBullet"/>
      </w:pPr>
      <w:r>
        <w:t>[x] Akten-Aufbewahrungsfrist: 5 Jahre gemäß BRAO § 50; Vernichtung ab Dezember 2031</w:t>
      </w:r>
    </w:p>
    <w:p/>
    <w:p>
      <w:pPr>
        <w:pStyle w:val="Heading2"/>
      </w:pPr>
      <w:r>
        <w:rPr>
          <w:rFonts w:ascii="Times New Roman" w:hAnsi="Times New Roman"/>
        </w:rPr>
        <w:t>Hinweise für künftige Mandate / Vorbeugung</w:t>
      </w:r>
    </w:p>
    <w:p>
      <w:pPr>
        <w:jc w:val="left"/>
      </w:pPr>
      <w:r>
        <w:t>RA Lattermann erteilt folgende praktische Hinweise:</w:t>
      </w:r>
    </w:p>
    <w:p>
      <w:pPr>
        <w:pStyle w:val="ListNumber"/>
      </w:pPr>
      <w:r>
        <w:rPr>
          <w:b/>
        </w:rPr>
        <w:t>Abstandshaltung LKW:</w:t>
      </w:r>
      <w:r>
        <w:t xml:space="preserve"> Bei 100 km/h gilt Mindestabstand 50 m. Empfehlung: Sicherheitsabstand 60–70 m einhalten; Dashcam-Einsatz prüfen (legal in D, wenn DSGVO-konform).</w:t>
      </w:r>
    </w:p>
    <w:p>
      <w:pPr>
        <w:pStyle w:val="ListNumber"/>
      </w:pPr>
      <w:r>
        <w:rPr>
          <w:b/>
        </w:rPr>
        <w:t>Tempomat-Nutzung:</w:t>
      </w:r>
      <w:r>
        <w:t xml:space="preserve"> Bei Section-Control-Abschnitten (erkennbar an Schildern und Portalbrücken) Tempomaten auf 95 km/h einstellen, um Toleranzpuffer zu haben.</w:t>
      </w:r>
    </w:p>
    <w:p>
      <w:pPr>
        <w:pStyle w:val="ListNumber"/>
      </w:pPr>
      <w:r>
        <w:rPr>
          <w:b/>
        </w:rPr>
        <w:t>BAMV-Zonen:</w:t>
      </w:r>
      <w:r>
        <w:t xml:space="preserve"> BAB 7 zwischen Hannover und Hamburg hat mehrere BAMV-Messstellen; Mandant sollte Fahrpersonal informieren.</w:t>
      </w:r>
    </w:p>
    <w:p>
      <w:pPr>
        <w:pStyle w:val="ListNumber"/>
      </w:pPr>
      <w:r>
        <w:rPr>
          <w:b/>
        </w:rPr>
        <w:t>Dashcam:</w:t>
      </w:r>
      <w:r>
        <w:t xml:space="preserve"> Eine im Sattelzug installierte Dashcam (Frontkamera) kann bei künftigen Messungen als Gegenbeweis dienen — Abstandsnachweise durch eigene Aufnahme.</w:t>
      </w:r>
    </w:p>
    <w:p/>
    <w:p>
      <w:pPr>
        <w:pStyle w:val="Heading2"/>
      </w:pPr>
      <w:r>
        <w:rPr>
          <w:rFonts w:ascii="Times New Roman" w:hAnsi="Times New Roman"/>
        </w:rPr>
        <w:t>Mandatsende</w:t>
      </w:r>
    </w:p>
    <w:p>
      <w:pPr>
        <w:jc w:val="left"/>
      </w:pPr>
      <w:r>
        <w:t>Das Mandat gilt mit Abschluss des Gesprächs am 15.12.2026 als beendet. RA Lattermann dankt für das entgegengebrachte Vertrauen. Mandant bedankt sich und erklärt, er werde die Kanzlei weiterempfehlen.</w:t>
      </w:r>
    </w:p>
    <w:p>
      <w:pPr>
        <w:jc w:val="left"/>
      </w:pPr>
      <w:r>
        <w:t>Abgezeichnet: RA Lattermann, 15.12.2026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