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Rechtsprechungsrecherche – OWi-Verteidigung Rotlicht / Tempo / Fahrverbot</w:t>
      </w:r>
    </w:p>
    <w:p>
      <w:pPr>
        <w:jc w:val="left"/>
      </w:pPr>
      <w:r>
        <w:rPr>
          <w:b/>
        </w:rPr>
        <w:t>Zusammengestellt von:</w:t>
      </w:r>
      <w:r>
        <w:t xml:space="preserve"> RA Sabine Volkert</w:t>
      </w:r>
    </w:p>
    <w:p>
      <w:pPr>
        <w:jc w:val="left"/>
      </w:pPr>
      <w:r>
        <w:rPr>
          <w:b/>
        </w:rPr>
        <w:t>Stand:</w:t>
      </w:r>
      <w:r>
        <w:t xml:space="preserve"> 12.06.2026</w:t>
      </w:r>
    </w:p>
    <w:p>
      <w:pPr>
        <w:jc w:val="left"/>
      </w:pPr>
      <w:r>
        <w:rPr>
          <w:b/>
        </w:rPr>
        <w:t>Bezugsakte:</w:t>
      </w:r>
      <w:r>
        <w:t xml:space="preserve"> 326.OWi.2026.77142 (Mertens)</w:t>
      </w:r>
    </w:p>
    <w:p>
      <w:pPr>
        <w:jc w:val="left"/>
      </w:pPr>
      <w:r>
        <w:t>Diese Notiz enthält keine ungeprüften Rechtsprechungszitate. Jede Fundstelle ist vor Verwendung in einem Schriftsatz mit Gericht, Entscheidungsform, Datum, Aktenzeichen, Quelle und tragender Aussage zu belegen.</w:t>
      </w:r>
    </w:p>
    <w:p>
      <w:pPr>
        <w:pStyle w:val="Heading2"/>
      </w:pPr>
      <w:r>
        <w:rPr>
          <w:rFonts w:ascii="Times New Roman" w:hAnsi="Times New Roman"/>
        </w:rPr>
        <w:t>1. Fahreridentifikation – Frontfoto bei eingeschränkten Lichtverhältnissen</w:t>
      </w:r>
    </w:p>
    <w:p>
      <w:pPr>
        <w:jc w:val="left"/>
      </w:pPr>
      <w:r>
        <w:rPr>
          <w:b/>
        </w:rPr>
        <w:t>Suchauftrag:</w:t>
      </w:r>
      <w:r>
        <w:t xml:space="preserve"> OLG-Rechtsprechung zu Frontfoto, Sonnenbrille, Schattenwurf, verdeckter Mund-/Nasenpartie und Anforderungen an die tatrichterliche Identifizierung.</w:t>
      </w:r>
    </w:p>
    <w:p>
      <w:pPr>
        <w:jc w:val="left"/>
      </w:pPr>
      <w:r>
        <w:rPr>
          <w:b/>
        </w:rPr>
        <w:t>Aktenbezug:</w:t>
      </w:r>
      <w:r>
        <w:t xml:space="preserve"> Frontfoto K-OWI-77142-03 zeigt dunkle Brille, Schattenwurf und teilweise verdecktes Gesicht. Die Verteidigung sollte nicht nur "ähnlich" oder "vereinbar" bestreiten, sondern konkrete Bildmerkmale, Vergleichspersonen und gegebenenfalls ein anthropologisches Sachverständigengutachten ansprechen.</w:t>
      </w:r>
    </w:p>
    <w:p>
      <w:pPr>
        <w:jc w:val="left"/>
      </w:pPr>
      <w:r>
        <w:rPr>
          <w:b/>
        </w:rPr>
        <w:t>Quellencheck vor Ausgabe:</w:t>
      </w:r>
      <w:r>
        <w:t xml:space="preserve"> juris/beck nicht blind zitieren; bevorzugt freie OLG-Datenbanken, openJur, dejure-Verknüpfungen oder amtliche Entscheidungsseiten.</w:t>
      </w:r>
    </w:p>
    <w:p>
      <w:pPr>
        <w:pStyle w:val="Heading2"/>
      </w:pPr>
      <w:r>
        <w:rPr>
          <w:rFonts w:ascii="Times New Roman" w:hAnsi="Times New Roman"/>
        </w:rPr>
        <w:t>2. Mehrere Fahrer und Haltereigenschaft</w:t>
      </w:r>
    </w:p>
    <w:p>
      <w:pPr>
        <w:jc w:val="left"/>
      </w:pPr>
      <w:r>
        <w:rPr>
          <w:b/>
        </w:rPr>
        <w:t>Suchauftrag:</w:t>
      </w:r>
      <w:r>
        <w:t xml:space="preserve"> Entscheidungen dazu, dass Haltereigenschaft, Unternehmensfahrzeug und Zugriffsmöglichkeit mehrerer Personen die Fahreridentität nicht ersetzen.</w:t>
      </w:r>
    </w:p>
    <w:p>
      <w:pPr>
        <w:jc w:val="left"/>
      </w:pPr>
      <w:r>
        <w:rPr>
          <w:b/>
        </w:rPr>
        <w:t>Aktenbezug:</w:t>
      </w:r>
      <w:r>
        <w:t xml:space="preserve"> Fahrzeug K-JM 426 wird von Jonas Mertens, Deniz Özkan und Lars Riemer genutzt. Das Fahrtenbuch enthält am Tattag mehrere Einträge; die Behörde muss die Fahrereigenschaft positiv feststellen.</w:t>
      </w:r>
    </w:p>
    <w:p>
      <w:pPr>
        <w:pStyle w:val="Heading2"/>
      </w:pPr>
      <w:r>
        <w:rPr>
          <w:rFonts w:ascii="Times New Roman" w:hAnsi="Times New Roman"/>
        </w:rPr>
        <w:t>3. Messprotokoll – handschriftliche Fahrspurkorrektur</w:t>
      </w:r>
    </w:p>
    <w:p>
      <w:pPr>
        <w:jc w:val="left"/>
      </w:pPr>
      <w:r>
        <w:rPr>
          <w:b/>
        </w:rPr>
        <w:t>Suchauftrag:</w:t>
      </w:r>
      <w:r>
        <w:t xml:space="preserve"> Rechtsprechung zu nachträglichen Korrekturen in Messprotokollen, Dokumentationspflicht, Befragung des Messbeamten und Auswirkungen auf standardisierte Messverfahren.</w:t>
      </w:r>
    </w:p>
    <w:p>
      <w:pPr>
        <w:jc w:val="left"/>
      </w:pPr>
      <w:r>
        <w:rPr>
          <w:b/>
        </w:rPr>
        <w:t>Aktenbezug:</w:t>
      </w:r>
      <w:r>
        <w:t xml:space="preserve"> Fahrspur wurde im Messprotokoll von 2 auf 1 korrigiert. Es gibt Initialen "KK" und ein Datum, aber keine Sachbegründung. Daraus folgt kein automatischer Freispruch, aber ein sauberer Aufklärungsantrag.</w:t>
      </w:r>
    </w:p>
    <w:p>
      <w:pPr>
        <w:pStyle w:val="Heading2"/>
      </w:pPr>
      <w:r>
        <w:rPr>
          <w:rFonts w:ascii="Times New Roman" w:hAnsi="Times New Roman"/>
        </w:rPr>
        <w:t>4. Reparatur nach Eichung und Nacheichung</w:t>
      </w:r>
    </w:p>
    <w:p>
      <w:pPr>
        <w:jc w:val="left"/>
      </w:pPr>
      <w:r>
        <w:rPr>
          <w:b/>
        </w:rPr>
        <w:t>Suchauftrag:</w:t>
      </w:r>
      <w:r>
        <w:t xml:space="preserve"> Entscheidungen und Eichrechtsmaterialien dazu, wann Wartung/Reparatur nach Eichung die Verwertbarkeit einer Messung berührt.</w:t>
      </w:r>
    </w:p>
    <w:p>
      <w:pPr>
        <w:jc w:val="left"/>
      </w:pPr>
      <w:r>
        <w:rPr>
          <w:b/>
        </w:rPr>
        <w:t>Aktenbezug:</w:t>
      </w:r>
      <w:r>
        <w:t xml:space="preserve"> Geräteakte zeigt Austausch des Schleifeneinlesemoduls am 08.02.2026 nach Eichung vom 12.01.2026. Die LBME-Stellungnahme vom 10.02.2026 muss vollständig beigezogen werden.</w:t>
      </w:r>
    </w:p>
    <w:p>
      <w:pPr>
        <w:pStyle w:val="Heading2"/>
      </w:pPr>
      <w:r>
        <w:rPr>
          <w:rFonts w:ascii="Times New Roman" w:hAnsi="Times New Roman"/>
        </w:rPr>
        <w:t>5. Fahrverbot und beruflicher Härtevortrag</w:t>
      </w:r>
    </w:p>
    <w:p>
      <w:pPr>
        <w:jc w:val="left"/>
      </w:pPr>
      <w:r>
        <w:rPr>
          <w:b/>
        </w:rPr>
        <w:t>Suchauftrag:</w:t>
      </w:r>
      <w:r>
        <w:t xml:space="preserve"> Entscheidungen zu Fahrverbot bei Selbstständigen, Handwerkern, Notdienstpflichten, Einmann-/Kleinbetrieben und Erhöhung der Geldbuße statt Fahrverbot.</w:t>
      </w:r>
    </w:p>
    <w:p>
      <w:pPr>
        <w:jc w:val="left"/>
      </w:pPr>
      <w:r>
        <w:rPr>
          <w:b/>
        </w:rPr>
        <w:t>Aktenbezug:</w:t>
      </w:r>
      <w:r>
        <w:t xml:space="preserve"> Jonas Mertens ist DVGW-zertifizierter Gasfachmann und persönlich in Notdienstverträge eingebunden. Der Vortrag braucht Belege: Auftragsliste, Notdienstvereinbarungen, DVGW-Nachweis, Mitarbeiterqualifikationen, Umsatzausfall und Vertretungsmöglichkeiten.</w:t>
      </w:r>
    </w:p>
    <w:p>
      <w:pPr>
        <w:pStyle w:val="Heading2"/>
      </w:pPr>
      <w:r>
        <w:rPr>
          <w:rFonts w:ascii="Times New Roman" w:hAnsi="Times New Roman"/>
        </w:rPr>
        <w:t>6. Qualifizierter Rotlichtverstoß im Grenzbereich</w:t>
      </w:r>
    </w:p>
    <w:p>
      <w:pPr>
        <w:jc w:val="left"/>
      </w:pPr>
      <w:r>
        <w:rPr>
          <w:b/>
        </w:rPr>
        <w:t>Suchauftrag:</w:t>
      </w:r>
      <w:r>
        <w:t xml:space="preserve"> Rechtsprechung zur Rotlichtdauer knapp über einer Sekunde, Messunsicherheit, Gelblichtphase, Haltelinie und Fahrspurzuordnung.</w:t>
      </w:r>
    </w:p>
    <w:p>
      <w:pPr>
        <w:jc w:val="left"/>
      </w:pPr>
      <w:r>
        <w:rPr>
          <w:b/>
        </w:rPr>
        <w:t>Aktenbezug:</w:t>
      </w:r>
      <w:r>
        <w:t xml:space="preserve"> Dokumentierte Rotlichtdauer: 1,21 Sekunden. Das liegt nicht nur minimal über dem Grenzwert, bleibt aber in Kombination mit Fahrspurkorrektur und Gerätefrage verteidigungsrelevant.</w:t>
      </w:r>
    </w:p>
    <w:p>
      <w:pPr>
        <w:pStyle w:val="Heading2"/>
      </w:pPr>
      <w:r>
        <w:rPr>
          <w:rFonts w:ascii="Times New Roman" w:hAnsi="Times New Roman"/>
        </w:rPr>
        <w:t>7. Akteneinsicht, Messreihe und Rohmessdaten</w:t>
      </w:r>
    </w:p>
    <w:p>
      <w:pPr>
        <w:jc w:val="left"/>
      </w:pPr>
      <w:r>
        <w:rPr>
          <w:b/>
        </w:rPr>
        <w:t>Suchauftrag:</w:t>
      </w:r>
      <w:r>
        <w:t xml:space="preserve"> BVerfG- und OLG-Rechtsprechung zum Recht auf Zugang zu nicht bei der Akte befindlichen Messunterlagen, Rohmessdaten, Statistikdatei, Geräteakte und Bedienungsanleitung.</w:t>
      </w:r>
    </w:p>
    <w:p>
      <w:pPr>
        <w:jc w:val="left"/>
      </w:pPr>
      <w:r>
        <w:rPr>
          <w:b/>
        </w:rPr>
        <w:t>Aktenbezug:</w:t>
      </w:r>
      <w:r>
        <w:t xml:space="preserve"> Verteidigung sollte zuerst konkret beantragen, welche Unterlagen benötigt werden und warum sie für Fahreridentifikation, Messrichtigkeit oder Fahrspurzuordnung relevant sind.</w:t>
      </w:r>
    </w:p>
    <w:p>
      <w:pPr>
        <w:pStyle w:val="Heading2"/>
      </w:pPr>
      <w:r>
        <w:rPr>
          <w:rFonts w:ascii="Times New Roman" w:hAnsi="Times New Roman"/>
        </w:rPr>
        <w:t>Arbeitsmatrix</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Angriffspunkt</w:t>
            </w:r>
          </w:p>
        </w:tc>
        <w:tc>
          <w:tcPr>
            <w:tcW w:type="dxa" w:w="3024"/>
          </w:tcPr>
          <w:p>
            <w:r>
              <w:rPr>
                <w:rFonts w:ascii="Times New Roman" w:hAnsi="Times New Roman"/>
                <w:b/>
                <w:sz w:val="20"/>
              </w:rPr>
              <w:t>Nächster Schritt</w:t>
            </w:r>
          </w:p>
        </w:tc>
        <w:tc>
          <w:tcPr>
            <w:tcW w:type="dxa" w:w="3024"/>
          </w:tcPr>
          <w:p>
            <w:r>
              <w:rPr>
                <w:rFonts w:ascii="Times New Roman" w:hAnsi="Times New Roman"/>
                <w:b/>
                <w:sz w:val="20"/>
              </w:rPr>
              <w:t>Stärke</w:t>
            </w:r>
          </w:p>
        </w:tc>
      </w:tr>
      <w:tr>
        <w:tc>
          <w:tcPr>
            <w:tcW w:type="dxa" w:w="3024"/>
          </w:tcPr>
          <w:p>
            <w:r>
              <w:rPr>
                <w:rFonts w:ascii="Times New Roman" w:hAnsi="Times New Roman"/>
                <w:sz w:val="20"/>
              </w:rPr>
              <w:t>Foto-Identifikation bei Sonnenbrille + Schatten</w:t>
            </w:r>
          </w:p>
        </w:tc>
        <w:tc>
          <w:tcPr>
            <w:tcW w:type="dxa" w:w="3024"/>
          </w:tcPr>
          <w:p>
            <w:r>
              <w:rPr>
                <w:rFonts w:ascii="Times New Roman" w:hAnsi="Times New Roman"/>
                <w:sz w:val="20"/>
              </w:rPr>
              <w:t>Bildmerkmale herausarbeiten; Vergleichspersonen sichern; Sachverständigenfrage prüfen</w:t>
            </w:r>
          </w:p>
        </w:tc>
        <w:tc>
          <w:tcPr>
            <w:tcW w:type="dxa" w:w="3024"/>
          </w:tcPr>
          <w:p>
            <w:r>
              <w:rPr>
                <w:rFonts w:ascii="Times New Roman" w:hAnsi="Times New Roman"/>
                <w:sz w:val="20"/>
              </w:rPr>
              <w:t>hoch</w:t>
            </w:r>
          </w:p>
        </w:tc>
      </w:tr>
      <w:tr>
        <w:tc>
          <w:tcPr>
            <w:tcW w:type="dxa" w:w="3024"/>
          </w:tcPr>
          <w:p>
            <w:r>
              <w:rPr>
                <w:rFonts w:ascii="Times New Roman" w:hAnsi="Times New Roman"/>
                <w:sz w:val="20"/>
              </w:rPr>
              <w:t>Mehrere Fahrer</w:t>
            </w:r>
          </w:p>
        </w:tc>
        <w:tc>
          <w:tcPr>
            <w:tcW w:type="dxa" w:w="3024"/>
          </w:tcPr>
          <w:p>
            <w:r>
              <w:rPr>
                <w:rFonts w:ascii="Times New Roman" w:hAnsi="Times New Roman"/>
                <w:sz w:val="20"/>
              </w:rPr>
              <w:t>Fahrtenbuch und Zeugen Özkan/Riemer strukturieren</w:t>
            </w:r>
          </w:p>
        </w:tc>
        <w:tc>
          <w:tcPr>
            <w:tcW w:type="dxa" w:w="3024"/>
          </w:tcPr>
          <w:p>
            <w:r>
              <w:rPr>
                <w:rFonts w:ascii="Times New Roman" w:hAnsi="Times New Roman"/>
                <w:sz w:val="20"/>
              </w:rPr>
              <w:t>mittel bis hoch</w:t>
            </w:r>
          </w:p>
        </w:tc>
      </w:tr>
      <w:tr>
        <w:tc>
          <w:tcPr>
            <w:tcW w:type="dxa" w:w="3024"/>
          </w:tcPr>
          <w:p>
            <w:r>
              <w:rPr>
                <w:rFonts w:ascii="Times New Roman" w:hAnsi="Times New Roman"/>
                <w:sz w:val="20"/>
              </w:rPr>
              <w:t>Handschriftliche Fahrspurkorrektur</w:t>
            </w:r>
          </w:p>
        </w:tc>
        <w:tc>
          <w:tcPr>
            <w:tcW w:type="dxa" w:w="3024"/>
          </w:tcPr>
          <w:p>
            <w:r>
              <w:rPr>
                <w:rFonts w:ascii="Times New Roman" w:hAnsi="Times New Roman"/>
                <w:sz w:val="20"/>
              </w:rPr>
              <w:t>Messbeamten zu Zeitpunkt, Anlass und Kontrolle befragen</w:t>
            </w:r>
          </w:p>
        </w:tc>
        <w:tc>
          <w:tcPr>
            <w:tcW w:type="dxa" w:w="3024"/>
          </w:tcPr>
          <w:p>
            <w:r>
              <w:rPr>
                <w:rFonts w:ascii="Times New Roman" w:hAnsi="Times New Roman"/>
                <w:sz w:val="20"/>
              </w:rPr>
              <w:t>mittel</w:t>
            </w:r>
          </w:p>
        </w:tc>
      </w:tr>
      <w:tr>
        <w:tc>
          <w:tcPr>
            <w:tcW w:type="dxa" w:w="3024"/>
          </w:tcPr>
          <w:p>
            <w:r>
              <w:rPr>
                <w:rFonts w:ascii="Times New Roman" w:hAnsi="Times New Roman"/>
                <w:sz w:val="20"/>
              </w:rPr>
              <w:t>Reparatur nach Eichung</w:t>
            </w:r>
          </w:p>
        </w:tc>
        <w:tc>
          <w:tcPr>
            <w:tcW w:type="dxa" w:w="3024"/>
          </w:tcPr>
          <w:p>
            <w:r>
              <w:rPr>
                <w:rFonts w:ascii="Times New Roman" w:hAnsi="Times New Roman"/>
                <w:sz w:val="20"/>
              </w:rPr>
              <w:t>LBME-Stellungnahme vollständig beiziehen; messtechnische Relevanz klären</w:t>
            </w:r>
          </w:p>
        </w:tc>
        <w:tc>
          <w:tcPr>
            <w:tcW w:type="dxa" w:w="3024"/>
          </w:tcPr>
          <w:p>
            <w:r>
              <w:rPr>
                <w:rFonts w:ascii="Times New Roman" w:hAnsi="Times New Roman"/>
                <w:sz w:val="20"/>
              </w:rPr>
              <w:t>mittel</w:t>
            </w:r>
          </w:p>
        </w:tc>
      </w:tr>
      <w:tr>
        <w:tc>
          <w:tcPr>
            <w:tcW w:type="dxa" w:w="3024"/>
          </w:tcPr>
          <w:p>
            <w:r>
              <w:rPr>
                <w:rFonts w:ascii="Times New Roman" w:hAnsi="Times New Roman"/>
                <w:sz w:val="20"/>
              </w:rPr>
              <w:t>Härtevortrag DVGW-Zulassung</w:t>
            </w:r>
          </w:p>
        </w:tc>
        <w:tc>
          <w:tcPr>
            <w:tcW w:type="dxa" w:w="3024"/>
          </w:tcPr>
          <w:p>
            <w:r>
              <w:rPr>
                <w:rFonts w:ascii="Times New Roman" w:hAnsi="Times New Roman"/>
                <w:sz w:val="20"/>
              </w:rPr>
              <w:t>Belege für existenzielle Folgen und fehlende Vertretung sammeln</w:t>
            </w:r>
          </w:p>
        </w:tc>
        <w:tc>
          <w:tcPr>
            <w:tcW w:type="dxa" w:w="3024"/>
          </w:tcPr>
          <w:p>
            <w:r>
              <w:rPr>
                <w:rFonts w:ascii="Times New Roman" w:hAnsi="Times New Roman"/>
                <w:sz w:val="20"/>
              </w:rPr>
              <w:t>hoch</w:t>
            </w:r>
          </w:p>
        </w:tc>
      </w:tr>
      <w:tr>
        <w:tc>
          <w:tcPr>
            <w:tcW w:type="dxa" w:w="3024"/>
          </w:tcPr>
          <w:p>
            <w:r>
              <w:rPr>
                <w:rFonts w:ascii="Times New Roman" w:hAnsi="Times New Roman"/>
                <w:sz w:val="20"/>
              </w:rPr>
              <w:t>Rotlichtdauer 1,21 Sekunden</w:t>
            </w:r>
          </w:p>
        </w:tc>
        <w:tc>
          <w:tcPr>
            <w:tcW w:type="dxa" w:w="3024"/>
          </w:tcPr>
          <w:p>
            <w:r>
              <w:rPr>
                <w:rFonts w:ascii="Times New Roman" w:hAnsi="Times New Roman"/>
                <w:sz w:val="20"/>
              </w:rPr>
              <w:t>Nur zusammen mit Mess-/Fahrspurthema stark</w:t>
            </w:r>
          </w:p>
        </w:tc>
        <w:tc>
          <w:tcPr>
            <w:tcW w:type="dxa" w:w="3024"/>
          </w:tcPr>
          <w:p>
            <w:r>
              <w:rPr>
                <w:rFonts w:ascii="Times New Roman" w:hAnsi="Times New Roman"/>
                <w:sz w:val="20"/>
              </w:rPr>
              <w:t>niedrig bis mittel</w:t>
            </w:r>
          </w:p>
        </w:tc>
      </w:tr>
      <w:tr>
        <w:tc>
          <w:tcPr>
            <w:tcW w:type="dxa" w:w="3024"/>
          </w:tcPr>
          <w:p>
            <w:r>
              <w:rPr>
                <w:rFonts w:ascii="Times New Roman" w:hAnsi="Times New Roman"/>
                <w:sz w:val="20"/>
              </w:rPr>
              <w:t>Akteneinsicht Rohmessdaten</w:t>
            </w:r>
          </w:p>
        </w:tc>
        <w:tc>
          <w:tcPr>
            <w:tcW w:type="dxa" w:w="3024"/>
          </w:tcPr>
          <w:p>
            <w:r>
              <w:rPr>
                <w:rFonts w:ascii="Times New Roman" w:hAnsi="Times New Roman"/>
                <w:sz w:val="20"/>
              </w:rPr>
              <w:t>Präzisen Antrag stellen, Ablehnung dokumentieren</w:t>
            </w:r>
          </w:p>
        </w:tc>
        <w:tc>
          <w:tcPr>
            <w:tcW w:type="dxa" w:w="3024"/>
          </w:tcPr>
          <w:p>
            <w:r>
              <w:rPr>
                <w:rFonts w:ascii="Times New Roman" w:hAnsi="Times New Roman"/>
                <w:sz w:val="20"/>
              </w:rPr>
              <w:t>hoch</w:t>
            </w:r>
          </w:p>
        </w:tc>
      </w:tr>
    </w:tbl>
    <w:p>
      <w:pPr>
        <w:pStyle w:val="Heading2"/>
      </w:pPr>
      <w:r>
        <w:rPr>
          <w:rFonts w:ascii="Times New Roman" w:hAnsi="Times New Roman"/>
        </w:rPr>
        <w:t>Schriftsatzregel</w:t>
      </w:r>
    </w:p>
    <w:p>
      <w:pPr>
        <w:jc w:val="left"/>
      </w:pPr>
      <w:r>
        <w:t>Keine Entscheidung zitieren, die nicht vorher verifiziert wurde. Wenn die Recherche offen ist, wird im Schriftsatz nicht mit Fundstellen gearbeitet, sondern mit Beweisanträgen, konkreten Aktenwidersprüchen und dem Anspruch auf faire Verfahrensgestaltung.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