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HUK-Coburg — Schadensregulierung Tannenbruck (Brief und Stellungnahme)</w:t>
      </w:r>
    </w:p>
    <w:p>
      <w:pPr>
        <w:jc w:val="left"/>
      </w:pPr>
      <w:r>
        <w:rPr>
          <w:b/>
        </w:rPr>
        <w:t>Absender (Brief 1):</w:t>
      </w:r>
      <w:r>
        <w:t xml:space="preserve"> HUK-Coburg Allgemeine Versicherungs-AG</w:t>
      </w:r>
    </w:p>
    <w:p>
      <w:pPr>
        <w:jc w:val="left"/>
      </w:pPr>
      <w:r>
        <w:t>Bahnhofsplatz 1, 96444 Coburg</w:t>
      </w:r>
    </w:p>
    <w:p>
      <w:pPr>
        <w:jc w:val="left"/>
      </w:pPr>
      <w:r>
        <w:t>Sachbearbeiterin: Julia Reichard, Referat Kraftfahrt-Haftpflicht</w:t>
      </w:r>
    </w:p>
    <w:p>
      <w:pPr>
        <w:jc w:val="left"/>
      </w:pPr>
      <w:r>
        <w:t>Schadennummer: 40-300-2026-08841</w:t>
      </w:r>
    </w:p>
    <w:p>
      <w:pPr>
        <w:jc w:val="left"/>
      </w:pPr>
      <w:r>
        <w:rPr>
          <w:b/>
        </w:rPr>
        <w:t>Datum:</w:t>
      </w:r>
      <w:r>
        <w:t xml:space="preserve"> 26.01.2026</w:t>
      </w:r>
    </w:p>
    <w:p>
      <w:pPr>
        <w:jc w:val="left"/>
      </w:pPr>
      <w:r>
        <w:rPr>
          <w:b/>
        </w:rPr>
        <w:t>Empfänger:</w:t>
      </w:r>
      <w:r>
        <w:t xml:space="preserve"> Kanzlei Hoffmann Verkehrsrecht, z.H. RA Sebastian Hoffmann, Lüdenscheid</w:t>
      </w:r>
    </w:p>
    <w:p/>
    <w:p>
      <w:pPr>
        <w:pStyle w:val="Heading2"/>
      </w:pPr>
      <w:r>
        <w:rPr>
          <w:rFonts w:ascii="Times New Roman" w:hAnsi="Times New Roman"/>
        </w:rPr>
        <w:t>Schreiben HUK-Coburg vom 26.01.2026</w:t>
      </w:r>
    </w:p>
    <w:p>
      <w:pPr>
        <w:jc w:val="left"/>
      </w:pPr>
      <w:r>
        <w:t>Sehr geehrter Herr Rechtsanwalt Hoffmann,</w:t>
      </w:r>
    </w:p>
    <w:p>
      <w:pPr>
        <w:jc w:val="left"/>
      </w:pPr>
      <w:r>
        <w:t>wir beziehen uns auf Ihr Schreiben vom 20.01.2026, mit dem Sie uns die Vollmacht von Herrn Holger Tannenbruck übermittelt und Akteneinsicht in unsere Schadensunterlagen beantragt haben. Schadennummer: 40-300-2026-08841.</w:t>
      </w:r>
    </w:p>
    <w:p>
      <w:pPr>
        <w:jc w:val="left"/>
      </w:pPr>
      <w:r>
        <w:rPr>
          <w:b/>
        </w:rPr>
        <w:t>Zum Sachverhalt:</w:t>
      </w:r>
    </w:p>
    <w:p>
      <w:pPr>
        <w:jc w:val="left"/>
      </w:pPr>
      <w:r>
        <w:t xml:space="preserve">Wir haben den Unfall vom 12.01.2026 auf der A45 bei Lüdenscheid in Fahrtrichtung Hagen geprüft. Nach derzeitigem Erkenntnisstand gehen wir von einer </w:t>
      </w:r>
      <w:r>
        <w:rPr>
          <w:b/>
        </w:rPr>
        <w:t>alleinigen Haftung unseres Versicherungsnehmers Tannenbruck (100 %)</w:t>
      </w:r>
      <w:r>
        <w:t xml:space="preserve"> aus.</w:t>
      </w:r>
    </w:p>
    <w:p>
      <w:pPr>
        <w:jc w:val="left"/>
      </w:pPr>
      <w:r>
        <w:t>Unsere Begründung:</w:t>
      </w:r>
    </w:p>
    <w:p>
      <w:pPr>
        <w:pStyle w:val="ListNumber"/>
      </w:pPr>
      <w:r>
        <w:t>Herr Tannenbruck fuhr mit einer Blutalkoholkonzentration von 0,98 ‰ (Blutprobe 03:47 Uhr) zur Unfallzeit — relative Fahruntüchtigkeit liegt nach unserer Bewertung vor</w:t>
      </w:r>
    </w:p>
    <w:p>
      <w:pPr>
        <w:pStyle w:val="ListNumber"/>
      </w:pPr>
      <w:r>
        <w:t>Herr Tannenbruck überschritt die zulässige Geschwindigkeit in der Baustellenzone (80 km/h) um 22 km/h (Messung 102 km/h)</w:t>
      </w:r>
    </w:p>
    <w:p>
      <w:pPr>
        <w:pStyle w:val="ListNumber"/>
      </w:pPr>
      <w:r>
        <w:t>Er hielt keinen ausreichenden Sicherheitsabstand zum vorausfahrenden Sattelzug ein (§ 4 Abs. 1 StVO)</w:t>
      </w:r>
    </w:p>
    <w:p>
      <w:pPr>
        <w:pStyle w:val="ListNumber"/>
      </w:pPr>
      <w:r>
        <w:t>Ein Mitverschulden des Sattelzug-Fahrers Wieczorek ist nach unserer Bewertung nicht erkennbar</w:t>
      </w:r>
    </w:p>
    <w:p>
      <w:pPr>
        <w:jc w:val="left"/>
      </w:pPr>
      <w:r>
        <w:t xml:space="preserve">Auf dieser Grundlage regulieren wir den Schaden gegenüber dem Unfallgegner (Spedition Niermann, Sattelzug-Schaden ca. 4.200 EUR) zu </w:t>
      </w:r>
      <w:r>
        <w:rPr>
          <w:b/>
        </w:rPr>
        <w:t>100 %</w:t>
      </w:r>
      <w:r>
        <w:t xml:space="preserve"> aus unserem Versicherungsvertrag.</w:t>
      </w:r>
    </w:p>
    <w:p>
      <w:pPr>
        <w:jc w:val="left"/>
      </w:pPr>
      <w:r>
        <w:t>Gegenüber Frau Helga Vornberg (Beifahrerin) werden wir deren Schmerzensgeldansprüche und Heilbehandlungskosten dem Grunde nach anerkennen und prüfen, da Frau Vornberg als Insassin des von uns versicherten Fahrzeuges einen direkten Anspruch gemäß § 115 VVG gegen uns hat.</w:t>
      </w:r>
    </w:p>
    <w:p>
      <w:pPr>
        <w:jc w:val="left"/>
      </w:pPr>
      <w:r>
        <w:rPr>
          <w:b/>
        </w:rPr>
        <w:t>Zur Deckungsfrage:</w:t>
      </w:r>
    </w:p>
    <w:p>
      <w:pPr>
        <w:jc w:val="left"/>
      </w:pPr>
      <w:r>
        <w:t xml:space="preserve">Wir weisen vorsorglich darauf hin, dass § 28 VVG i.V.m. Ziffer 5.1 AKB (Leistungsfreiheit wegen vorsätzlicher Herbeiführung des Versicherungsfalls) geprüft wird. Fahren unter Alkoholeinfluss kann als grob fahrlässige Herbeiführung des Versicherungsfalls gewertet werden, was zu einer </w:t>
      </w:r>
      <w:r>
        <w:rPr>
          <w:b/>
        </w:rPr>
        <w:t>Leistungskürzung bis zu 100 %</w:t>
      </w:r>
      <w:r>
        <w:t xml:space="preserve"> führen kann. Wir behalten uns entsprechende Erklärungen vor.</w:t>
      </w:r>
    </w:p>
    <w:p>
      <w:pPr>
        <w:jc w:val="left"/>
      </w:pPr>
      <w:r>
        <w:t>Gegenüber Ihrem Mandanten persönlich sind wir daher berechtigt, Rückgriff zu nehmen (§ 86 VVG, § 116 SGB X).</w:t>
      </w:r>
    </w:p>
    <w:p>
      <w:pPr>
        <w:jc w:val="left"/>
      </w:pPr>
      <w:r>
        <w:t>Mit freundlichen Grüßen</w:t>
      </w:r>
    </w:p>
    <w:p>
      <w:pPr>
        <w:jc w:val="left"/>
      </w:pPr>
      <w:r>
        <w:t>Julia Reichard</w:t>
      </w:r>
    </w:p>
    <w:p>
      <w:pPr>
        <w:jc w:val="left"/>
      </w:pPr>
      <w:r>
        <w:t>HUK-Coburg, Kraftfahrt-Haftpflicht, Referat Schadensregulierung</w:t>
      </w:r>
    </w:p>
    <w:p/>
    <w:p>
      <w:pPr>
        <w:pStyle w:val="Heading2"/>
      </w:pPr>
      <w:r>
        <w:rPr>
          <w:rFonts w:ascii="Times New Roman" w:hAnsi="Times New Roman"/>
        </w:rPr>
        <w:t>Antwortschreiben Kanzlei Hoffmann an HUK-Coburg, 05.02.2026</w:t>
      </w:r>
    </w:p>
    <w:p>
      <w:pPr>
        <w:jc w:val="left"/>
      </w:pPr>
      <w:r>
        <w:t>Sehr geehrte Frau Reichard,</w:t>
      </w:r>
    </w:p>
    <w:p>
      <w:pPr>
        <w:jc w:val="left"/>
      </w:pPr>
      <w:r>
        <w:t>vielen Dank für Ihr Schreiben vom 26.01.2026. Wir erwidern wie folgt:</w:t>
      </w:r>
    </w:p>
    <w:p>
      <w:pPr>
        <w:jc w:val="left"/>
      </w:pPr>
      <w:r>
        <w:rPr>
          <w:b/>
        </w:rPr>
        <w:t>1. Zur Haftungsquote (100 % Tannenbruck)</w:t>
      </w:r>
    </w:p>
    <w:p>
      <w:pPr>
        <w:jc w:val="left"/>
      </w:pPr>
      <w:r>
        <w:t>Ihre Auffassung, dass Herr Tannenbruck zu 100 % haftet, halten wir für rechtsfehlerhaft. Nach dem Sachverständigengutachten des Dipl.-Ing. Rennsteig (Az. SV-2026-A45-0184, Ihnen als Anlage übersandt) ist das Bremsmanöver des Sattelzuges (Wieczorek) als mitursächlich für den Unfall zu werten:</w:t>
      </w:r>
    </w:p>
    <w:p>
      <w:pPr>
        <w:pStyle w:val="ListBullet"/>
      </w:pPr>
      <w:r>
        <w:t>Der Sattelzug verlangsamte in 8 Sekunden von 72 auf 42 km/h auf einer Nacht-Autobahn bei Glätte und Schneeregen</w:t>
      </w:r>
    </w:p>
    <w:p>
      <w:pPr>
        <w:pStyle w:val="ListBullet"/>
      </w:pPr>
      <w:r>
        <w:t>Das Bremsmanöver war durch ein — nach eigener Aussage Wieczoreks — nicht eindeutig identifiziertes Fahrzeug auf dem rechten Fahrstreifen ausgelöst</w:t>
      </w:r>
    </w:p>
    <w:p>
      <w:pPr>
        <w:pStyle w:val="ListBullet"/>
      </w:pPr>
      <w:r>
        <w:t>Die erhöhte Betriebsgefahr eines Sattelzuges (§ 17 Abs. 1 StVG) ist in die Haftungsabwägung einzubeziehen</w:t>
      </w:r>
    </w:p>
    <w:p>
      <w:pPr>
        <w:jc w:val="left"/>
      </w:pPr>
      <w:r>
        <w:t>Wir verweisen auf die Rechtsprechung des BGH zur Betriebsgefahr bei Auffahrunfällen: Auch bei eindeutig überwiegendem Verschulden des Auffahrenden ist die Betriebsgefahr des vorausfahrenden Fahrzeuges nicht automatisch auf null zu reduzieren, es sei denn, das Auffahren allein hat die Betriebsgefahr vollständig verdrängt (BGH, VersR 2012, 1025; OLG Hamm, NZV 2020, 311).</w:t>
      </w:r>
    </w:p>
    <w:p>
      <w:pPr>
        <w:jc w:val="left"/>
      </w:pPr>
      <w:r>
        <w:t xml:space="preserve">Wir gehen von einer Haftungsquote von </w:t>
      </w:r>
      <w:r>
        <w:rPr>
          <w:b/>
        </w:rPr>
        <w:t>70–80 % zu Lasten Tannenbruck / 20–30 % zu Lasten Niermann</w:t>
      </w:r>
      <w:r>
        <w:t xml:space="preserve"> aus.</w:t>
      </w:r>
    </w:p>
    <w:p>
      <w:pPr>
        <w:jc w:val="left"/>
      </w:pPr>
      <w:r>
        <w:rPr>
          <w:b/>
        </w:rPr>
        <w:t>2. Zur Deckungsfrage (§ 28 VVG)</w:t>
      </w:r>
    </w:p>
    <w:p>
      <w:pPr>
        <w:jc w:val="left"/>
      </w:pPr>
      <w:r>
        <w:t xml:space="preserve">Wir widersprechen der angedeuteten vollständigen Leistungsfreiheit. Bei grober Fahrlässigkeit sieht § 81 Abs. 2 VVG lediglich eine </w:t>
      </w:r>
      <w:r>
        <w:rPr>
          <w:b/>
        </w:rPr>
        <w:t>anteilige Leistungskürzung</w:t>
      </w:r>
      <w:r>
        <w:t xml:space="preserve"> vor, keine vollständige Leistungsfreiheit. Vollständige Leistungsfreiheit tritt nur bei Vorsatz (§ 81 Abs. 1 VVG) ein. Fahren unter Alkohol mit 0,98 ‰ (relativ fahruntüchtig, aber kein absoluter Vorsatz) ist nach h.M. als grobe Fahrlässigkeit einzuordnen — mit der Folge, dass Ihre Leistungspflicht bestehen bleibt, allenfalls quotenmäßig gekürzt wird.</w:t>
      </w:r>
    </w:p>
    <w:p>
      <w:pPr>
        <w:jc w:val="left"/>
      </w:pPr>
      <w:r>
        <w:t xml:space="preserve">Wir fordern Sie auf, bis </w:t>
      </w:r>
      <w:r>
        <w:rPr>
          <w:b/>
        </w:rPr>
        <w:t>28.02.2026</w:t>
      </w:r>
      <w:r>
        <w:t xml:space="preserve"> eine qualifizierte Stellungnahme zur Haftungsquote und zur Deckungsfrage abzugeben, andernfalls werden wir die Interessen unseres Mandanten gerichtlich durchsetzen.</w:t>
      </w:r>
    </w:p>
    <w:p>
      <w:pPr>
        <w:jc w:val="left"/>
      </w:pPr>
      <w:r>
        <w:t>Mit freundlichen kollegialen Grüßen</w:t>
      </w:r>
    </w:p>
    <w:p>
      <w:pPr>
        <w:jc w:val="left"/>
      </w:pPr>
      <w:r>
        <w:t>Sebastian Hoffmann</w:t>
      </w:r>
    </w:p>
    <w:p>
      <w:pPr>
        <w:jc w:val="left"/>
      </w:pPr>
      <w:r>
        <w:t>Rechtsanwalt, Fachanwalt für Verkehrsrecht</w:t>
      </w:r>
    </w:p>
    <w:p/>
    <w:p>
      <w:pPr>
        <w:pStyle w:val="Heading2"/>
      </w:pPr>
      <w:r>
        <w:rPr>
          <w:rFonts w:ascii="Times New Roman" w:hAnsi="Times New Roman"/>
        </w:rPr>
        <w:t>Interne Notiz RA Hoffmann — Bewertung</w:t>
      </w:r>
    </w:p>
    <w:p>
      <w:pPr>
        <w:jc w:val="left"/>
      </w:pPr>
      <w:r>
        <w:rPr>
          <w:b/>
        </w:rPr>
        <w:t>Kernproblem:</w:t>
      </w:r>
      <w:r>
        <w:t xml:space="preserve"> Die HUK-Coburg hat einen Interessenkonflikt: Sie ist Haftpflichtversicherer des Mandanten Tannenbruck, muss also Drittschäden (Niermann 4.200 EUR, Vornberg-Schmerzensgeld) regulieren — beabsichtigt aber, über den Regress (§ 86 VVG) auf Tannenbruck selbst zuzugreifen.</w:t>
      </w:r>
    </w:p>
    <w:p>
      <w:pPr>
        <w:jc w:val="left"/>
      </w:pPr>
      <w:r>
        <w:rPr>
          <w:b/>
        </w:rPr>
        <w:t>Strategie:</w:t>
      </w:r>
    </w:p>
    <w:p>
      <w:pPr>
        <w:pStyle w:val="ListBullet"/>
      </w:pPr>
      <w:r>
        <w:t>Klärung der Haftungsquote im Zivilprozess (LG Hagen, Klageschrift Allianz gegen HUK-Coburg läuft parallel)</w:t>
      </w:r>
    </w:p>
    <w:p>
      <w:pPr>
        <w:pStyle w:val="ListBullet"/>
      </w:pPr>
      <w:r>
        <w:t>Gleichzeitig: Auseinandersetzung mit der Deckungskürzungsdrohung — § 81 Abs. 2 VVG begrenzt die Kürzung auf den Anteil der Schadensverursachung</w:t>
      </w:r>
    </w:p>
    <w:p>
      <w:pPr>
        <w:pStyle w:val="ListBullet"/>
      </w:pPr>
      <w:r>
        <w:t>Rückgriff-Risiko Tannenbruck: Betragsmaximierung des Regresses verhindern durch Vergleich mit HUK-Coburg (Regressi-Beschränkungsvereinbarung anstreben)</w:t>
      </w:r>
    </w:p>
    <w:p/>
    <w:p>
      <w:pPr>
        <w:jc w:val="left"/>
      </w:pPr>
      <w:r>
        <w:rPr>
          <w:i/>
        </w:rPr>
        <w:t>Alle Korrespondenz mit HUK-Coburg ab 20.01.2026 erfasst — Kanzlei Hoffmann Verkehrsrecht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