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Quotenberechnung Haftungsanteile — Betriebsgefahr und Verschulden</w:t>
      </w:r>
    </w:p>
    <w:p>
      <w:pPr>
        <w:jc w:val="left"/>
      </w:pPr>
      <w:r>
        <w:rPr>
          <w:b/>
        </w:rPr>
        <w:t>Erstellt von:</w:t>
      </w:r>
      <w:r>
        <w:t xml:space="preserve"> RA Sebastian Hoffmann, Kanzlei Hoffmann Verkehrsrecht Lüdenscheid</w:t>
      </w:r>
    </w:p>
    <w:p>
      <w:pPr>
        <w:jc w:val="left"/>
      </w:pPr>
      <w:r>
        <w:rPr>
          <w:b/>
        </w:rPr>
        <w:t>Aktenzeichen:</w:t>
      </w:r>
      <w:r>
        <w:t xml:space="preserve"> LG Hagen 4 O 211/26</w:t>
      </w:r>
    </w:p>
    <w:p>
      <w:pPr>
        <w:jc w:val="left"/>
      </w:pPr>
      <w:r>
        <w:rPr>
          <w:b/>
        </w:rPr>
        <w:t>Datum:</w:t>
      </w:r>
      <w:r>
        <w:t xml:space="preserve"> 20.02.2026</w:t>
      </w:r>
    </w:p>
    <w:p>
      <w:pPr>
        <w:jc w:val="left"/>
      </w:pPr>
      <w:r>
        <w:rPr>
          <w:b/>
        </w:rPr>
        <w:t>Grundlage:</w:t>
      </w:r>
      <w:r>
        <w:t xml:space="preserve"> SV-Gutachten Rennsteig (SV-2026-A45-0184), Polizeiakte VD2-2026-00112</w:t>
      </w:r>
    </w:p>
    <w:p/>
    <w:p>
      <w:pPr>
        <w:pStyle w:val="Heading2"/>
      </w:pPr>
      <w:r>
        <w:rPr>
          <w:rFonts w:ascii="Times New Roman" w:hAnsi="Times New Roman"/>
        </w:rPr>
        <w:t>I. Rechtliche Grundlagen der Haftungsabwägung</w:t>
      </w:r>
    </w:p>
    <w:p>
      <w:pPr>
        <w:jc w:val="left"/>
      </w:pPr>
      <w:r>
        <w:t xml:space="preserve">Bei Unfällen mit mehreren Kraftfahrzeugen richtet sich die Haftungsverteilung nach </w:t>
      </w:r>
      <w:r>
        <w:rPr>
          <w:b/>
        </w:rPr>
        <w:t>§ 17 Abs. 1 und 2 StVG</w:t>
      </w:r>
      <w:r>
        <w:t>:</w:t>
      </w:r>
    </w:p>
    <w:p>
      <w:pPr>
        <w:ind w:left="567"/>
      </w:pPr>
      <w:r>
        <w:rPr>
          <w:i/>
        </w:rPr>
        <w:t>„Sind bei einem Unfall durch mehrere Kraftfahrzeuge Personen getötet, der Körper oder die Gesundheit von Personen verletzt oder Sachen beschädigt worden, so ist in ihrem Verhältnis zueinander von jedem beteiligten Halter der Schaden in dem Umfang zu ersetzen, der nach den Umständen, insbesondere danach, inwieweit der Schaden vorwiegend von dem einen oder anderen Teil verursacht worden ist, der Billigkeit entspricht."</w:t>
      </w:r>
    </w:p>
    <w:p>
      <w:pPr>
        <w:jc w:val="left"/>
      </w:pPr>
      <w:r>
        <w:t>Die Abwägung berücksichtigt:</w:t>
      </w:r>
    </w:p>
    <w:p>
      <w:pPr>
        <w:pStyle w:val="ListNumber"/>
      </w:pPr>
      <w:r>
        <w:rPr>
          <w:b/>
        </w:rPr>
        <w:t>Betriebsgefahr</w:t>
      </w:r>
      <w:r>
        <w:t xml:space="preserve"> — strukturelle Gefährlichkeit des Fahrzeugs durch Masse, Größe, Nutzungsart</w:t>
      </w:r>
    </w:p>
    <w:p>
      <w:pPr>
        <w:pStyle w:val="ListNumber"/>
      </w:pPr>
      <w:r>
        <w:rPr>
          <w:b/>
        </w:rPr>
        <w:t>Verschulden</w:t>
      </w:r>
      <w:r>
        <w:t xml:space="preserve"> — fahrlässiges oder vorsätzliches Fehlverhalten des Fahrers</w:t>
      </w:r>
    </w:p>
    <w:p>
      <w:pPr>
        <w:pStyle w:val="ListNumber"/>
      </w:pPr>
      <w:r>
        <w:rPr>
          <w:b/>
        </w:rPr>
        <w:t>Mitverursachungsanteil</w:t>
      </w:r>
      <w:r>
        <w:t xml:space="preserve"> — technisch-physikalischer Anteil am Schadensereignis</w:t>
      </w:r>
    </w:p>
    <w:p/>
    <w:p>
      <w:pPr>
        <w:pStyle w:val="Heading2"/>
      </w:pPr>
      <w:r>
        <w:rPr>
          <w:rFonts w:ascii="Times New Roman" w:hAnsi="Times New Roman"/>
        </w:rPr>
        <w:t>II. Analyse der Haftungsanteile</w:t>
      </w:r>
    </w:p>
    <w:p>
      <w:pPr>
        <w:pStyle w:val="Heading3"/>
      </w:pPr>
      <w:r>
        <w:rPr>
          <w:rFonts w:ascii="Times New Roman" w:hAnsi="Times New Roman"/>
        </w:rPr>
        <w:t>Fahrzeug 1: VW Passat Variant (Tannenbruck/Klimatechnik Tannenbruck GmbH)</w:t>
      </w:r>
    </w:p>
    <w:p>
      <w:pPr>
        <w:jc w:val="left"/>
      </w:pPr>
      <w:r>
        <w:rPr>
          <w:b/>
        </w:rPr>
        <w:t>Erhöhende Faktoren (Verschulden):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Faktor</w:t>
            </w:r>
          </w:p>
        </w:tc>
        <w:tc>
          <w:tcPr>
            <w:tcW w:type="dxa" w:w="3024"/>
          </w:tcPr>
          <w:p>
            <w:r>
              <w:rPr>
                <w:rFonts w:ascii="Times New Roman" w:hAnsi="Times New Roman"/>
                <w:b/>
                <w:sz w:val="20"/>
              </w:rPr>
              <w:t>Bewertung</w:t>
            </w:r>
          </w:p>
        </w:tc>
        <w:tc>
          <w:tcPr>
            <w:tcW w:type="dxa" w:w="3024"/>
          </w:tcPr>
          <w:p>
            <w:r>
              <w:rPr>
                <w:rFonts w:ascii="Times New Roman" w:hAnsi="Times New Roman"/>
                <w:b/>
                <w:sz w:val="20"/>
              </w:rPr>
              <w:t>Gewicht</w:t>
            </w:r>
          </w:p>
        </w:tc>
      </w:tr>
      <w:tr>
        <w:tc>
          <w:tcPr>
            <w:tcW w:type="dxa" w:w="3024"/>
          </w:tcPr>
          <w:p>
            <w:r>
              <w:rPr>
                <w:rFonts w:ascii="Times New Roman" w:hAnsi="Times New Roman"/>
                <w:sz w:val="20"/>
              </w:rPr>
              <w:t>Trunkenheit (0,98 ‰ BAK, rel. Fahruntüchtigkeit)</w:t>
            </w:r>
          </w:p>
        </w:tc>
        <w:tc>
          <w:tcPr>
            <w:tcW w:type="dxa" w:w="3024"/>
          </w:tcPr>
          <w:p>
            <w:r>
              <w:rPr>
                <w:rFonts w:ascii="Times New Roman" w:hAnsi="Times New Roman"/>
                <w:sz w:val="20"/>
              </w:rPr>
              <w:t>Schweres Verschulden</w:t>
            </w:r>
          </w:p>
        </w:tc>
        <w:tc>
          <w:tcPr>
            <w:tcW w:type="dxa" w:w="3024"/>
          </w:tcPr>
          <w:p>
            <w:r>
              <w:rPr>
                <w:rFonts w:ascii="Times New Roman" w:hAnsi="Times New Roman"/>
                <w:sz w:val="20"/>
              </w:rPr>
              <w:t>Hoch</w:t>
            </w:r>
          </w:p>
        </w:tc>
      </w:tr>
      <w:tr>
        <w:tc>
          <w:tcPr>
            <w:tcW w:type="dxa" w:w="3024"/>
          </w:tcPr>
          <w:p>
            <w:r>
              <w:rPr>
                <w:rFonts w:ascii="Times New Roman" w:hAnsi="Times New Roman"/>
                <w:sz w:val="20"/>
              </w:rPr>
              <w:t>Überschreitung Höchstgeschwindigkeit (99 km/h in 80er-Zone)</w:t>
            </w:r>
          </w:p>
        </w:tc>
        <w:tc>
          <w:tcPr>
            <w:tcW w:type="dxa" w:w="3024"/>
          </w:tcPr>
          <w:p>
            <w:r>
              <w:rPr>
                <w:rFonts w:ascii="Times New Roman" w:hAnsi="Times New Roman"/>
                <w:sz w:val="20"/>
              </w:rPr>
              <w:t>Mittleres Verschulden</w:t>
            </w:r>
          </w:p>
        </w:tc>
        <w:tc>
          <w:tcPr>
            <w:tcW w:type="dxa" w:w="3024"/>
          </w:tcPr>
          <w:p>
            <w:r>
              <w:rPr>
                <w:rFonts w:ascii="Times New Roman" w:hAnsi="Times New Roman"/>
                <w:sz w:val="20"/>
              </w:rPr>
              <w:t>Mittel</w:t>
            </w:r>
          </w:p>
        </w:tc>
      </w:tr>
      <w:tr>
        <w:tc>
          <w:tcPr>
            <w:tcW w:type="dxa" w:w="3024"/>
          </w:tcPr>
          <w:p>
            <w:r>
              <w:rPr>
                <w:rFonts w:ascii="Times New Roman" w:hAnsi="Times New Roman"/>
                <w:sz w:val="20"/>
              </w:rPr>
              <w:t>Unzureichender Sicherheitsabstand (§ 4 StVO)</w:t>
            </w:r>
          </w:p>
        </w:tc>
        <w:tc>
          <w:tcPr>
            <w:tcW w:type="dxa" w:w="3024"/>
          </w:tcPr>
          <w:p>
            <w:r>
              <w:rPr>
                <w:rFonts w:ascii="Times New Roman" w:hAnsi="Times New Roman"/>
                <w:sz w:val="20"/>
              </w:rPr>
              <w:t>Erhebliches Verschulden</w:t>
            </w:r>
          </w:p>
        </w:tc>
        <w:tc>
          <w:tcPr>
            <w:tcW w:type="dxa" w:w="3024"/>
          </w:tcPr>
          <w:p>
            <w:r>
              <w:rPr>
                <w:rFonts w:ascii="Times New Roman" w:hAnsi="Times New Roman"/>
                <w:sz w:val="20"/>
              </w:rPr>
              <w:t>Hoch</w:t>
            </w:r>
          </w:p>
        </w:tc>
      </w:tr>
      <w:tr>
        <w:tc>
          <w:tcPr>
            <w:tcW w:type="dxa" w:w="3024"/>
          </w:tcPr>
          <w:p>
            <w:r>
              <w:rPr>
                <w:rFonts w:ascii="Times New Roman" w:hAnsi="Times New Roman"/>
                <w:sz w:val="20"/>
              </w:rPr>
              <w:t>Verlängerte Reaktionszeit (2 Sek. statt 0,8–1,2 Sek.)</w:t>
            </w:r>
          </w:p>
        </w:tc>
        <w:tc>
          <w:tcPr>
            <w:tcW w:type="dxa" w:w="3024"/>
          </w:tcPr>
          <w:p>
            <w:r>
              <w:rPr>
                <w:rFonts w:ascii="Times New Roman" w:hAnsi="Times New Roman"/>
                <w:sz w:val="20"/>
              </w:rPr>
              <w:t>Bedingt durch Trunkenheit</w:t>
            </w:r>
          </w:p>
        </w:tc>
        <w:tc>
          <w:tcPr>
            <w:tcW w:type="dxa" w:w="3024"/>
          </w:tcPr>
          <w:p>
            <w:r>
              <w:rPr>
                <w:rFonts w:ascii="Times New Roman" w:hAnsi="Times New Roman"/>
                <w:sz w:val="20"/>
              </w:rPr>
              <w:t>Hoch</w:t>
            </w:r>
          </w:p>
        </w:tc>
      </w:tr>
      <w:tr>
        <w:tc>
          <w:tcPr>
            <w:tcW w:type="dxa" w:w="3024"/>
          </w:tcPr>
          <w:p>
            <w:r>
              <w:rPr>
                <w:rFonts w:ascii="Times New Roman" w:hAnsi="Times New Roman"/>
                <w:sz w:val="20"/>
              </w:rPr>
              <w:t>Auffahren auf vorausfahrendes Fahrzeug</w:t>
            </w:r>
          </w:p>
        </w:tc>
        <w:tc>
          <w:tcPr>
            <w:tcW w:type="dxa" w:w="3024"/>
          </w:tcPr>
          <w:p>
            <w:r>
              <w:rPr>
                <w:rFonts w:ascii="Times New Roman" w:hAnsi="Times New Roman"/>
                <w:sz w:val="20"/>
              </w:rPr>
              <w:t>Typisches Zeichen Fahruntüchtigkeit</w:t>
            </w:r>
          </w:p>
        </w:tc>
        <w:tc>
          <w:tcPr>
            <w:tcW w:type="dxa" w:w="3024"/>
          </w:tcPr>
          <w:p>
            <w:r>
              <w:rPr>
                <w:rFonts w:ascii="Times New Roman" w:hAnsi="Times New Roman"/>
                <w:sz w:val="20"/>
              </w:rPr>
              <w:t>Mittel</w:t>
            </w:r>
          </w:p>
        </w:tc>
      </w:tr>
    </w:tbl>
    <w:p>
      <w:pPr>
        <w:jc w:val="left"/>
      </w:pPr>
      <w:r>
        <w:rPr>
          <w:b/>
        </w:rPr>
        <w:t>Basisbetriebsgefahr PKW:</w:t>
      </w:r>
      <w:r>
        <w:t xml:space="preserve"> mittel (PKW, 2022, 1.600 kg Leergewicht)</w:t>
      </w:r>
    </w:p>
    <w:p>
      <w:pPr>
        <w:jc w:val="left"/>
      </w:pPr>
      <w:r>
        <w:rPr>
          <w:b/>
        </w:rPr>
        <w:t>Gesamtbewertung Tannenbruck:</w:t>
      </w:r>
      <w:r>
        <w:t xml:space="preserve"> Hohes Eigenverschulden + erhöhte Schadenskausalität = </w:t>
      </w:r>
      <w:r>
        <w:rPr>
          <w:b/>
        </w:rPr>
        <w:t>Hauptverantwortung</w:t>
      </w:r>
    </w:p>
    <w:p>
      <w:pPr>
        <w:pStyle w:val="Heading3"/>
      </w:pPr>
      <w:r>
        <w:rPr>
          <w:rFonts w:ascii="Times New Roman" w:hAnsi="Times New Roman"/>
        </w:rPr>
        <w:t>Fahrzeug 2: Sattelzug Spedition Niermann (Wieczorek)</w:t>
      </w:r>
    </w:p>
    <w:p>
      <w:pPr>
        <w:jc w:val="left"/>
      </w:pPr>
      <w:r>
        <w:rPr>
          <w:b/>
        </w:rPr>
        <w:t>Erhöhende Faktoren (Betriebsgefahr):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Faktor</w:t>
            </w:r>
          </w:p>
        </w:tc>
        <w:tc>
          <w:tcPr>
            <w:tcW w:type="dxa" w:w="3024"/>
          </w:tcPr>
          <w:p>
            <w:r>
              <w:rPr>
                <w:rFonts w:ascii="Times New Roman" w:hAnsi="Times New Roman"/>
                <w:b/>
                <w:sz w:val="20"/>
              </w:rPr>
              <w:t>Bewertung</w:t>
            </w:r>
          </w:p>
        </w:tc>
        <w:tc>
          <w:tcPr>
            <w:tcW w:type="dxa" w:w="3024"/>
          </w:tcPr>
          <w:p>
            <w:r>
              <w:rPr>
                <w:rFonts w:ascii="Times New Roman" w:hAnsi="Times New Roman"/>
                <w:b/>
                <w:sz w:val="20"/>
              </w:rPr>
              <w:t>Gewicht</w:t>
            </w:r>
          </w:p>
        </w:tc>
      </w:tr>
      <w:tr>
        <w:tc>
          <w:tcPr>
            <w:tcW w:type="dxa" w:w="3024"/>
          </w:tcPr>
          <w:p>
            <w:r>
              <w:rPr>
                <w:rFonts w:ascii="Times New Roman" w:hAnsi="Times New Roman"/>
                <w:sz w:val="20"/>
              </w:rPr>
              <w:t>Fahrzeugmasse (Sattelzug bis 40 t)</w:t>
            </w:r>
          </w:p>
        </w:tc>
        <w:tc>
          <w:tcPr>
            <w:tcW w:type="dxa" w:w="3024"/>
          </w:tcPr>
          <w:p>
            <w:r>
              <w:rPr>
                <w:rFonts w:ascii="Times New Roman" w:hAnsi="Times New Roman"/>
                <w:sz w:val="20"/>
              </w:rPr>
              <w:t>Erhöhte Betriebsgefahr strukturell</w:t>
            </w:r>
          </w:p>
        </w:tc>
        <w:tc>
          <w:tcPr>
            <w:tcW w:type="dxa" w:w="3024"/>
          </w:tcPr>
          <w:p>
            <w:r>
              <w:rPr>
                <w:rFonts w:ascii="Times New Roman" w:hAnsi="Times New Roman"/>
                <w:sz w:val="20"/>
              </w:rPr>
              <w:t>Hoch</w:t>
            </w:r>
          </w:p>
        </w:tc>
      </w:tr>
      <w:tr>
        <w:tc>
          <w:tcPr>
            <w:tcW w:type="dxa" w:w="3024"/>
          </w:tcPr>
          <w:p>
            <w:r>
              <w:rPr>
                <w:rFonts w:ascii="Times New Roman" w:hAnsi="Times New Roman"/>
                <w:sz w:val="20"/>
              </w:rPr>
              <w:t>Bremsmanöver nachts, Schneeregen, Glätte</w:t>
            </w:r>
          </w:p>
        </w:tc>
        <w:tc>
          <w:tcPr>
            <w:tcW w:type="dxa" w:w="3024"/>
          </w:tcPr>
          <w:p>
            <w:r>
              <w:rPr>
                <w:rFonts w:ascii="Times New Roman" w:hAnsi="Times New Roman"/>
                <w:sz w:val="20"/>
              </w:rPr>
              <w:t>Erhöhtes Risiko für Nachfolgeverkehr</w:t>
            </w:r>
          </w:p>
        </w:tc>
        <w:tc>
          <w:tcPr>
            <w:tcW w:type="dxa" w:w="3024"/>
          </w:tcPr>
          <w:p>
            <w:r>
              <w:rPr>
                <w:rFonts w:ascii="Times New Roman" w:hAnsi="Times New Roman"/>
                <w:sz w:val="20"/>
              </w:rPr>
              <w:t>Mittel</w:t>
            </w:r>
          </w:p>
        </w:tc>
      </w:tr>
      <w:tr>
        <w:tc>
          <w:tcPr>
            <w:tcW w:type="dxa" w:w="3024"/>
          </w:tcPr>
          <w:p>
            <w:r>
              <w:rPr>
                <w:rFonts w:ascii="Times New Roman" w:hAnsi="Times New Roman"/>
                <w:sz w:val="20"/>
              </w:rPr>
              <w:t>Ohne eindeutig erkennbaren Grund verlangsamt</w:t>
            </w:r>
          </w:p>
        </w:tc>
        <w:tc>
          <w:tcPr>
            <w:tcW w:type="dxa" w:w="3024"/>
          </w:tcPr>
          <w:p>
            <w:r>
              <w:rPr>
                <w:rFonts w:ascii="Times New Roman" w:hAnsi="Times New Roman"/>
                <w:sz w:val="20"/>
              </w:rPr>
              <w:t>Mittleres Mitverschulden</w:t>
            </w:r>
          </w:p>
        </w:tc>
        <w:tc>
          <w:tcPr>
            <w:tcW w:type="dxa" w:w="3024"/>
          </w:tcPr>
          <w:p>
            <w:r>
              <w:rPr>
                <w:rFonts w:ascii="Times New Roman" w:hAnsi="Times New Roman"/>
                <w:sz w:val="20"/>
              </w:rPr>
              <w:t>Mittel</w:t>
            </w:r>
          </w:p>
        </w:tc>
      </w:tr>
      <w:tr>
        <w:tc>
          <w:tcPr>
            <w:tcW w:type="dxa" w:w="3024"/>
          </w:tcPr>
          <w:p>
            <w:r>
              <w:rPr>
                <w:rFonts w:ascii="Times New Roman" w:hAnsi="Times New Roman"/>
                <w:sz w:val="20"/>
              </w:rPr>
              <w:t>Fahrzeuggröße (erhöhter Unterfahrschutz)</w:t>
            </w:r>
          </w:p>
        </w:tc>
        <w:tc>
          <w:tcPr>
            <w:tcW w:type="dxa" w:w="3024"/>
          </w:tcPr>
          <w:p>
            <w:r>
              <w:rPr>
                <w:rFonts w:ascii="Times New Roman" w:hAnsi="Times New Roman"/>
                <w:sz w:val="20"/>
              </w:rPr>
              <w:t>Passat fährt teils unter Auflieger</w:t>
            </w:r>
          </w:p>
        </w:tc>
        <w:tc>
          <w:tcPr>
            <w:tcW w:type="dxa" w:w="3024"/>
          </w:tcPr>
          <w:p>
            <w:r>
              <w:rPr>
                <w:rFonts w:ascii="Times New Roman" w:hAnsi="Times New Roman"/>
                <w:sz w:val="20"/>
              </w:rPr>
              <w:t>Mittel</w:t>
            </w:r>
          </w:p>
        </w:tc>
      </w:tr>
    </w:tbl>
    <w:p>
      <w:pPr>
        <w:jc w:val="left"/>
      </w:pPr>
      <w:r>
        <w:rPr>
          <w:b/>
        </w:rPr>
        <w:t>Mindernde Faktoren: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Faktor</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Bremsung nicht als Vollbremsung (1 m/s² Verzögerung)</w:t>
            </w:r>
          </w:p>
        </w:tc>
        <w:tc>
          <w:tcPr>
            <w:tcW w:type="dxa" w:w="4536"/>
          </w:tcPr>
          <w:p>
            <w:r>
              <w:rPr>
                <w:rFonts w:ascii="Times New Roman" w:hAnsi="Times New Roman"/>
                <w:sz w:val="20"/>
              </w:rPr>
              <w:t>Mäßigend</w:t>
            </w:r>
          </w:p>
        </w:tc>
      </w:tr>
      <w:tr>
        <w:tc>
          <w:tcPr>
            <w:tcW w:type="dxa" w:w="4536"/>
          </w:tcPr>
          <w:p>
            <w:r>
              <w:rPr>
                <w:rFonts w:ascii="Times New Roman" w:hAnsi="Times New Roman"/>
                <w:sz w:val="20"/>
              </w:rPr>
              <w:t>Wieczorek führte eine erkennbare Bremsung durch (Bremslichter)</w:t>
            </w:r>
          </w:p>
        </w:tc>
        <w:tc>
          <w:tcPr>
            <w:tcW w:type="dxa" w:w="4536"/>
          </w:tcPr>
          <w:p>
            <w:r>
              <w:rPr>
                <w:rFonts w:ascii="Times New Roman" w:hAnsi="Times New Roman"/>
                <w:sz w:val="20"/>
              </w:rPr>
              <w:t>Mäßigend</w:t>
            </w:r>
          </w:p>
        </w:tc>
      </w:tr>
      <w:tr>
        <w:tc>
          <w:tcPr>
            <w:tcW w:type="dxa" w:w="4536"/>
          </w:tcPr>
          <w:p>
            <w:r>
              <w:rPr>
                <w:rFonts w:ascii="Times New Roman" w:hAnsi="Times New Roman"/>
                <w:sz w:val="20"/>
              </w:rPr>
              <w:t>Wieczorek reagierte auf ein (vermeintliches) Hindernis</w:t>
            </w:r>
          </w:p>
        </w:tc>
        <w:tc>
          <w:tcPr>
            <w:tcW w:type="dxa" w:w="4536"/>
          </w:tcPr>
          <w:p>
            <w:r>
              <w:rPr>
                <w:rFonts w:ascii="Times New Roman" w:hAnsi="Times New Roman"/>
                <w:sz w:val="20"/>
              </w:rPr>
              <w:t>Entlastend</w:t>
            </w:r>
          </w:p>
        </w:tc>
      </w:tr>
      <w:tr>
        <w:tc>
          <w:tcPr>
            <w:tcW w:type="dxa" w:w="4536"/>
          </w:tcPr>
          <w:p>
            <w:r>
              <w:rPr>
                <w:rFonts w:ascii="Times New Roman" w:hAnsi="Times New Roman"/>
                <w:sz w:val="20"/>
              </w:rPr>
              <w:t>Lenkzeit und Pausenzeiten ordnungsgemäß</w:t>
            </w:r>
          </w:p>
        </w:tc>
        <w:tc>
          <w:tcPr>
            <w:tcW w:type="dxa" w:w="4536"/>
          </w:tcPr>
          <w:p>
            <w:r>
              <w:rPr>
                <w:rFonts w:ascii="Times New Roman" w:hAnsi="Times New Roman"/>
                <w:sz w:val="20"/>
              </w:rPr>
              <w:t>Kein Fahrerdefizit</w:t>
            </w:r>
          </w:p>
        </w:tc>
      </w:tr>
    </w:tbl>
    <w:p>
      <w:pPr>
        <w:jc w:val="left"/>
      </w:pPr>
      <w:r>
        <w:rPr>
          <w:b/>
        </w:rPr>
        <w:t>Gesamtbewertung Niermann/Wieczorek:</w:t>
      </w:r>
      <w:r>
        <w:t xml:space="preserve"> Strukturell erhöhte Betriebsgefahr durch Sattelzuggröße, gewisses Mitverschulden durch situativ unklares Bremsmanöver, aber kein gravierendes Fahrerfehler</w:t>
      </w:r>
    </w:p>
    <w:p/>
    <w:p>
      <w:pPr>
        <w:pStyle w:val="Heading2"/>
      </w:pPr>
      <w:r>
        <w:rPr>
          <w:rFonts w:ascii="Times New Roman" w:hAnsi="Times New Roman"/>
        </w:rPr>
        <w:t>III. Vergleich der Positionen der Parteien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Partei</w:t>
            </w:r>
          </w:p>
        </w:tc>
        <w:tc>
          <w:tcPr>
            <w:tcW w:type="dxa" w:w="3024"/>
          </w:tcPr>
          <w:p>
            <w:r>
              <w:rPr>
                <w:rFonts w:ascii="Times New Roman" w:hAnsi="Times New Roman"/>
                <w:b/>
                <w:sz w:val="20"/>
              </w:rPr>
              <w:t>Forderung</w:t>
            </w:r>
          </w:p>
        </w:tc>
        <w:tc>
          <w:tcPr>
            <w:tcW w:type="dxa" w:w="3024"/>
          </w:tcPr>
          <w:p>
            <w:r>
              <w:rPr>
                <w:rFonts w:ascii="Times New Roman" w:hAnsi="Times New Roman"/>
                <w:b/>
                <w:sz w:val="20"/>
              </w:rPr>
              <w:t>Begründung</w:t>
            </w:r>
          </w:p>
        </w:tc>
      </w:tr>
      <w:tr>
        <w:tc>
          <w:tcPr>
            <w:tcW w:type="dxa" w:w="3024"/>
          </w:tcPr>
          <w:p>
            <w:r>
              <w:rPr>
                <w:rFonts w:ascii="Times New Roman" w:hAnsi="Times New Roman"/>
                <w:sz w:val="20"/>
              </w:rPr>
              <w:t>HUK-Coburg (Tannenbruck-Versicherung)</w:t>
            </w:r>
          </w:p>
        </w:tc>
        <w:tc>
          <w:tcPr>
            <w:tcW w:type="dxa" w:w="3024"/>
          </w:tcPr>
          <w:p>
            <w:r>
              <w:rPr>
                <w:rFonts w:ascii="Times New Roman" w:hAnsi="Times New Roman"/>
                <w:sz w:val="20"/>
              </w:rPr>
              <w:t>100 % Tannenbruck</w:t>
            </w:r>
          </w:p>
        </w:tc>
        <w:tc>
          <w:tcPr>
            <w:tcW w:type="dxa" w:w="3024"/>
          </w:tcPr>
          <w:p>
            <w:r>
              <w:rPr>
                <w:rFonts w:ascii="Times New Roman" w:hAnsi="Times New Roman"/>
                <w:sz w:val="20"/>
              </w:rPr>
              <w:t>Trunkenheit, Geschwindigkeit, kein Mitverschulden LKW</w:t>
            </w:r>
          </w:p>
        </w:tc>
      </w:tr>
      <w:tr>
        <w:tc>
          <w:tcPr>
            <w:tcW w:type="dxa" w:w="3024"/>
          </w:tcPr>
          <w:p>
            <w:r>
              <w:rPr>
                <w:rFonts w:ascii="Times New Roman" w:hAnsi="Times New Roman"/>
                <w:sz w:val="20"/>
              </w:rPr>
              <w:t>Allianz (Niermann-Versicherung)</w:t>
            </w:r>
          </w:p>
        </w:tc>
        <w:tc>
          <w:tcPr>
            <w:tcW w:type="dxa" w:w="3024"/>
          </w:tcPr>
          <w:p>
            <w:r>
              <w:rPr>
                <w:rFonts w:ascii="Times New Roman" w:hAnsi="Times New Roman"/>
                <w:sz w:val="20"/>
              </w:rPr>
              <w:t>50/50</w:t>
            </w:r>
          </w:p>
        </w:tc>
        <w:tc>
          <w:tcPr>
            <w:tcW w:type="dxa" w:w="3024"/>
          </w:tcPr>
          <w:p>
            <w:r>
              <w:rPr>
                <w:rFonts w:ascii="Times New Roman" w:hAnsi="Times New Roman"/>
                <w:sz w:val="20"/>
              </w:rPr>
              <w:t>Abruptes Bremsmanöver = Mitverschulden Niermann</w:t>
            </w:r>
          </w:p>
        </w:tc>
      </w:tr>
      <w:tr>
        <w:tc>
          <w:tcPr>
            <w:tcW w:type="dxa" w:w="3024"/>
          </w:tcPr>
          <w:p>
            <w:r>
              <w:rPr>
                <w:rFonts w:ascii="Times New Roman" w:hAnsi="Times New Roman"/>
                <w:sz w:val="20"/>
              </w:rPr>
              <w:t>SV Rennsteig (Gutachter)</w:t>
            </w:r>
          </w:p>
        </w:tc>
        <w:tc>
          <w:tcPr>
            <w:tcW w:type="dxa" w:w="3024"/>
          </w:tcPr>
          <w:p>
            <w:r>
              <w:rPr>
                <w:rFonts w:ascii="Times New Roman" w:hAnsi="Times New Roman"/>
                <w:sz w:val="20"/>
              </w:rPr>
              <w:t>70–80 % Tannenbruck</w:t>
            </w:r>
          </w:p>
        </w:tc>
        <w:tc>
          <w:tcPr>
            <w:tcW w:type="dxa" w:w="3024"/>
          </w:tcPr>
          <w:p>
            <w:r>
              <w:rPr>
                <w:rFonts w:ascii="Times New Roman" w:hAnsi="Times New Roman"/>
                <w:sz w:val="20"/>
              </w:rPr>
              <w:t>Technische Analyse Betriebsgefahr</w:t>
            </w:r>
          </w:p>
        </w:tc>
      </w:tr>
      <w:tr>
        <w:tc>
          <w:tcPr>
            <w:tcW w:type="dxa" w:w="3024"/>
          </w:tcPr>
          <w:p>
            <w:r>
              <w:rPr>
                <w:rFonts w:ascii="Times New Roman" w:hAnsi="Times New Roman"/>
                <w:sz w:val="20"/>
              </w:rPr>
              <w:t>RA Hoffmann (Strategie)</w:t>
            </w:r>
          </w:p>
        </w:tc>
        <w:tc>
          <w:tcPr>
            <w:tcW w:type="dxa" w:w="3024"/>
          </w:tcPr>
          <w:p>
            <w:r>
              <w:rPr>
                <w:rFonts w:ascii="Times New Roman" w:hAnsi="Times New Roman"/>
                <w:sz w:val="20"/>
              </w:rPr>
              <w:t>70/30 bis 75/25</w:t>
            </w:r>
          </w:p>
        </w:tc>
        <w:tc>
          <w:tcPr>
            <w:tcW w:type="dxa" w:w="3024"/>
          </w:tcPr>
          <w:p>
            <w:r>
              <w:rPr>
                <w:rFonts w:ascii="Times New Roman" w:hAnsi="Times New Roman"/>
                <w:sz w:val="20"/>
              </w:rPr>
              <w:t>Verhandlungsposition, bereinigt um Alkohol-Malus</w:t>
            </w:r>
          </w:p>
        </w:tc>
      </w:tr>
    </w:tbl>
    <w:p/>
    <w:p>
      <w:pPr>
        <w:pStyle w:val="Heading2"/>
      </w:pPr>
      <w:r>
        <w:rPr>
          <w:rFonts w:ascii="Times New Roman" w:hAnsi="Times New Roman"/>
        </w:rPr>
        <w:t>IV. Rechtsprechungsübersicht</w:t>
      </w:r>
    </w:p>
    <w:p>
      <w:pPr>
        <w:pStyle w:val="Heading3"/>
      </w:pPr>
      <w:r>
        <w:rPr>
          <w:rFonts w:ascii="Times New Roman" w:hAnsi="Times New Roman"/>
        </w:rPr>
        <w:t>Auffahrunfälle auf Autobahnen mit Alkohol-Hintergrund</w:t>
      </w:r>
    </w:p>
    <w:p>
      <w:pPr>
        <w:jc w:val="left"/>
      </w:pPr>
      <w:r>
        <w:rPr>
          <w:b/>
        </w:rPr>
        <w:t>BGH, Urt. v. 21.11.2006, VI ZR 115/05 (NJW 2007, 506):</w:t>
      </w:r>
    </w:p>
    <w:p>
      <w:pPr>
        <w:jc w:val="left"/>
      </w:pPr>
      <w:r>
        <w:t>Der BGH hat klargestellt, dass selbst bei erheblichem Eigenverschulden des Auffahrenden die Betriebsgefahr des vorausfahrenden Fahrzeugs grundsätzlich nicht auf null sinkt, es sei denn das Auffahren war allein auf ein außergewöhnliches Fahrmanöver des Auffahrenden zurückzuführen.</w:t>
      </w:r>
    </w:p>
    <w:p>
      <w:pPr>
        <w:jc w:val="left"/>
      </w:pPr>
      <w:r>
        <w:rPr>
          <w:b/>
        </w:rPr>
        <w:t>OLG Hamm, Urt. v. 14.07.2020, 9 U 41/20 (NZV 2021, 89):</w:t>
      </w:r>
    </w:p>
    <w:p>
      <w:pPr>
        <w:jc w:val="left"/>
      </w:pPr>
      <w:r>
        <w:t>Bei einem Auffahrunfall auf der Autobahn mit alkoholisiertem Auffahrendem (BAK ca. 1,0 ‰) und vorausfahrendem LKW mit erkennbarer Bremsung: Quote 80/20 zulasten des alkoholisierten Auffahrenden. Betriebsgefahr des LKW wegen erhöhter Masse mit 20 % bemessen.</w:t>
      </w:r>
    </w:p>
    <w:p>
      <w:pPr>
        <w:jc w:val="left"/>
      </w:pPr>
      <w:r>
        <w:rPr>
          <w:b/>
        </w:rPr>
        <w:t>OLG Düsseldorf, Beschl. v. 19.03.2018, 1 U 126/17 (SVR 2018, 184):</w:t>
      </w:r>
    </w:p>
    <w:p>
      <w:pPr>
        <w:jc w:val="left"/>
      </w:pPr>
      <w:r>
        <w:t>Bei nicht eindeutig begründetem Bremsmanöver eines LKW auf der Autobahn bei schlechter Witterung: Mitverursachungsanteil LKW 25–30 % trotz erheblichem Verschulden des Auffahrenden.</w:t>
      </w:r>
    </w:p>
    <w:p/>
    <w:p>
      <w:pPr>
        <w:pStyle w:val="Heading2"/>
      </w:pPr>
      <w:r>
        <w:rPr>
          <w:rFonts w:ascii="Times New Roman" w:hAnsi="Times New Roman"/>
        </w:rPr>
        <w:t>V. Ergebnis und Empfehlung</w:t>
      </w:r>
    </w:p>
    <w:p>
      <w:pPr>
        <w:jc w:val="left"/>
      </w:pPr>
      <w:r>
        <w:rPr>
          <w:b/>
        </w:rPr>
        <w:t>Rechtlich begründete Zielquote für Kanzlei Hoffmann: 75 % Tannenbruck / 25 % Niermann</w:t>
      </w:r>
    </w:p>
    <w:p>
      <w:pPr>
        <w:jc w:val="left"/>
      </w:pPr>
      <w:r>
        <w:t>Diese Quote berücksichtigt:</w:t>
      </w:r>
    </w:p>
    <w:p>
      <w:pPr>
        <w:pStyle w:val="ListBullet"/>
      </w:pPr>
      <w:r>
        <w:t>Schweres Eigenverschulden Tannenbruck (Trunkenheit + Geschwindigkeit)</w:t>
      </w:r>
    </w:p>
    <w:p>
      <w:pPr>
        <w:pStyle w:val="ListBullet"/>
      </w:pPr>
      <w:r>
        <w:t>Strukturell erhöhte Betriebsgefahr Sattelzug</w:t>
      </w:r>
    </w:p>
    <w:p>
      <w:pPr>
        <w:pStyle w:val="ListBullet"/>
      </w:pPr>
      <w:r>
        <w:t>Situativ bedingtes (wenn auch technisch moderates) Bremsmanöver Wieczorek</w:t>
      </w:r>
    </w:p>
    <w:p>
      <w:pPr>
        <w:pStyle w:val="ListBullet"/>
      </w:pPr>
      <w:r>
        <w:t>Übereinstimmung mit dem SV-Gutachten Rennsteig (70–80 / 20–30)</w:t>
      </w:r>
    </w:p>
    <w:p>
      <w:pPr>
        <w:jc w:val="left"/>
      </w:pPr>
      <w:r>
        <w:rPr>
          <w:b/>
        </w:rPr>
        <w:t>Auswirkung auf Schadensregulierung: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Schadensposition</w:t>
            </w:r>
          </w:p>
        </w:tc>
        <w:tc>
          <w:tcPr>
            <w:tcW w:type="dxa" w:w="2268"/>
          </w:tcPr>
          <w:p>
            <w:r>
              <w:rPr>
                <w:rFonts w:ascii="Times New Roman" w:hAnsi="Times New Roman"/>
                <w:b/>
                <w:sz w:val="20"/>
              </w:rPr>
              <w:t>Gesamtschaden</w:t>
            </w:r>
          </w:p>
        </w:tc>
        <w:tc>
          <w:tcPr>
            <w:tcW w:type="dxa" w:w="2268"/>
          </w:tcPr>
          <w:p>
            <w:r>
              <w:rPr>
                <w:rFonts w:ascii="Times New Roman" w:hAnsi="Times New Roman"/>
                <w:b/>
                <w:sz w:val="20"/>
              </w:rPr>
              <w:t>Anteil Tannenbruck (75 %)</w:t>
            </w:r>
          </w:p>
        </w:tc>
        <w:tc>
          <w:tcPr>
            <w:tcW w:type="dxa" w:w="2268"/>
          </w:tcPr>
          <w:p>
            <w:r>
              <w:rPr>
                <w:rFonts w:ascii="Times New Roman" w:hAnsi="Times New Roman"/>
                <w:b/>
                <w:sz w:val="20"/>
              </w:rPr>
              <w:t>Anteil Niermann (25 %)</w:t>
            </w:r>
          </w:p>
        </w:tc>
      </w:tr>
      <w:tr>
        <w:tc>
          <w:tcPr>
            <w:tcW w:type="dxa" w:w="2268"/>
          </w:tcPr>
          <w:p>
            <w:r>
              <w:rPr>
                <w:rFonts w:ascii="Times New Roman" w:hAnsi="Times New Roman"/>
                <w:sz w:val="20"/>
              </w:rPr>
              <w:t>Fahrzeugschaden Sattelzug</w:t>
            </w:r>
          </w:p>
        </w:tc>
        <w:tc>
          <w:tcPr>
            <w:tcW w:type="dxa" w:w="2268"/>
          </w:tcPr>
          <w:p>
            <w:r>
              <w:rPr>
                <w:rFonts w:ascii="Times New Roman" w:hAnsi="Times New Roman"/>
                <w:sz w:val="20"/>
              </w:rPr>
              <w:t>4.200 EUR</w:t>
            </w:r>
          </w:p>
        </w:tc>
        <w:tc>
          <w:tcPr>
            <w:tcW w:type="dxa" w:w="2268"/>
          </w:tcPr>
          <w:p>
            <w:r>
              <w:rPr>
                <w:rFonts w:ascii="Times New Roman" w:hAnsi="Times New Roman"/>
                <w:sz w:val="20"/>
              </w:rPr>
              <w:t>3.150 EUR</w:t>
            </w:r>
          </w:p>
        </w:tc>
        <w:tc>
          <w:tcPr>
            <w:tcW w:type="dxa" w:w="2268"/>
          </w:tcPr>
          <w:p>
            <w:r>
              <w:rPr>
                <w:rFonts w:ascii="Times New Roman" w:hAnsi="Times New Roman"/>
                <w:sz w:val="20"/>
              </w:rPr>
              <w:t>1.050 EUR</w:t>
            </w:r>
          </w:p>
        </w:tc>
      </w:tr>
      <w:tr>
        <w:tc>
          <w:tcPr>
            <w:tcW w:type="dxa" w:w="2268"/>
          </w:tcPr>
          <w:p>
            <w:r>
              <w:rPr>
                <w:rFonts w:ascii="Times New Roman" w:hAnsi="Times New Roman"/>
                <w:sz w:val="20"/>
              </w:rPr>
              <w:t>Nebenkosten (Abschlepp, Gutachter etc.)</w:t>
            </w:r>
          </w:p>
        </w:tc>
        <w:tc>
          <w:tcPr>
            <w:tcW w:type="dxa" w:w="2268"/>
          </w:tcPr>
          <w:p>
            <w:r>
              <w:rPr>
                <w:rFonts w:ascii="Times New Roman" w:hAnsi="Times New Roman"/>
                <w:sz w:val="20"/>
              </w:rPr>
              <w:t>1.460 EUR</w:t>
            </w:r>
          </w:p>
        </w:tc>
        <w:tc>
          <w:tcPr>
            <w:tcW w:type="dxa" w:w="2268"/>
          </w:tcPr>
          <w:p>
            <w:r>
              <w:rPr>
                <w:rFonts w:ascii="Times New Roman" w:hAnsi="Times New Roman"/>
                <w:sz w:val="20"/>
              </w:rPr>
              <w:t>1.095 EUR</w:t>
            </w:r>
          </w:p>
        </w:tc>
        <w:tc>
          <w:tcPr>
            <w:tcW w:type="dxa" w:w="2268"/>
          </w:tcPr>
          <w:p>
            <w:r>
              <w:rPr>
                <w:rFonts w:ascii="Times New Roman" w:hAnsi="Times New Roman"/>
                <w:sz w:val="20"/>
              </w:rPr>
              <w:t>365 EUR</w:t>
            </w:r>
          </w:p>
        </w:tc>
      </w:tr>
      <w:tr>
        <w:tc>
          <w:tcPr>
            <w:tcW w:type="dxa" w:w="2268"/>
          </w:tcPr>
          <w:p>
            <w:r>
              <w:rPr>
                <w:rFonts w:ascii="Times New Roman" w:hAnsi="Times New Roman"/>
                <w:sz w:val="20"/>
              </w:rPr>
              <w:t>Nutzungsausfall Sattelzug</w:t>
            </w:r>
          </w:p>
        </w:tc>
        <w:tc>
          <w:tcPr>
            <w:tcW w:type="dxa" w:w="2268"/>
          </w:tcPr>
          <w:p>
            <w:r>
              <w:rPr>
                <w:rFonts w:ascii="Times New Roman" w:hAnsi="Times New Roman"/>
                <w:sz w:val="20"/>
              </w:rPr>
              <w:t>1.350 EUR</w:t>
            </w:r>
          </w:p>
        </w:tc>
        <w:tc>
          <w:tcPr>
            <w:tcW w:type="dxa" w:w="2268"/>
          </w:tcPr>
          <w:p>
            <w:r>
              <w:rPr>
                <w:rFonts w:ascii="Times New Roman" w:hAnsi="Times New Roman"/>
                <w:sz w:val="20"/>
              </w:rPr>
              <w:t>1.012 EUR</w:t>
            </w:r>
          </w:p>
        </w:tc>
        <w:tc>
          <w:tcPr>
            <w:tcW w:type="dxa" w:w="2268"/>
          </w:tcPr>
          <w:p>
            <w:r>
              <w:rPr>
                <w:rFonts w:ascii="Times New Roman" w:hAnsi="Times New Roman"/>
                <w:sz w:val="20"/>
              </w:rPr>
              <w:t>338 EUR</w:t>
            </w:r>
          </w:p>
        </w:tc>
      </w:tr>
      <w:tr>
        <w:tc>
          <w:tcPr>
            <w:tcW w:type="dxa" w:w="2268"/>
          </w:tcPr>
          <w:p>
            <w:r>
              <w:rPr>
                <w:rFonts w:ascii="Times New Roman" w:hAnsi="Times New Roman"/>
                <w:b/>
                <w:sz w:val="20"/>
              </w:rPr>
              <w:t>Gesamt Sachschaden</w:t>
            </w:r>
          </w:p>
        </w:tc>
        <w:tc>
          <w:tcPr>
            <w:tcW w:type="dxa" w:w="2268"/>
          </w:tcPr>
          <w:p>
            <w:r>
              <w:rPr>
                <w:rFonts w:ascii="Times New Roman" w:hAnsi="Times New Roman"/>
                <w:b/>
                <w:sz w:val="20"/>
              </w:rPr>
              <w:t>7.010 EUR</w:t>
            </w:r>
          </w:p>
        </w:tc>
        <w:tc>
          <w:tcPr>
            <w:tcW w:type="dxa" w:w="2268"/>
          </w:tcPr>
          <w:p>
            <w:r>
              <w:rPr>
                <w:rFonts w:ascii="Times New Roman" w:hAnsi="Times New Roman"/>
                <w:b/>
                <w:sz w:val="20"/>
              </w:rPr>
              <w:t>5.257 EUR</w:t>
            </w:r>
          </w:p>
        </w:tc>
        <w:tc>
          <w:tcPr>
            <w:tcW w:type="dxa" w:w="2268"/>
          </w:tcPr>
          <w:p>
            <w:r>
              <w:rPr>
                <w:rFonts w:ascii="Times New Roman" w:hAnsi="Times New Roman"/>
                <w:b/>
                <w:sz w:val="20"/>
              </w:rPr>
              <w:t>1.753 EUR</w:t>
            </w:r>
          </w:p>
        </w:tc>
      </w:tr>
      <w:tr>
        <w:tc>
          <w:tcPr>
            <w:tcW w:type="dxa" w:w="2268"/>
          </w:tcPr>
          <w:p>
            <w:r>
              <w:rPr>
                <w:rFonts w:ascii="Times New Roman" w:hAnsi="Times New Roman"/>
                <w:sz w:val="20"/>
              </w:rPr>
              <w:t>Schmerzensgeld Vornberg (Klagebetrag)</w:t>
            </w:r>
          </w:p>
        </w:tc>
        <w:tc>
          <w:tcPr>
            <w:tcW w:type="dxa" w:w="2268"/>
          </w:tcPr>
          <w:p>
            <w:r>
              <w:rPr>
                <w:rFonts w:ascii="Times New Roman" w:hAnsi="Times New Roman"/>
                <w:sz w:val="20"/>
              </w:rPr>
              <w:t>18.000 EUR</w:t>
            </w:r>
          </w:p>
        </w:tc>
        <w:tc>
          <w:tcPr>
            <w:tcW w:type="dxa" w:w="2268"/>
          </w:tcPr>
          <w:p>
            <w:r>
              <w:rPr>
                <w:rFonts w:ascii="Times New Roman" w:hAnsi="Times New Roman"/>
                <w:sz w:val="20"/>
              </w:rPr>
              <w:t>13.500 EUR</w:t>
            </w:r>
          </w:p>
        </w:tc>
        <w:tc>
          <w:tcPr>
            <w:tcW w:type="dxa" w:w="2268"/>
          </w:tcPr>
          <w:p>
            <w:r>
              <w:rPr>
                <w:rFonts w:ascii="Times New Roman" w:hAnsi="Times New Roman"/>
                <w:sz w:val="20"/>
              </w:rPr>
              <w:t>4.500 EUR</w:t>
            </w:r>
          </w:p>
        </w:tc>
      </w:tr>
      <w:tr>
        <w:tc>
          <w:tcPr>
            <w:tcW w:type="dxa" w:w="2268"/>
          </w:tcPr>
          <w:p>
            <w:r>
              <w:rPr>
                <w:rFonts w:ascii="Times New Roman" w:hAnsi="Times New Roman"/>
                <w:sz w:val="20"/>
              </w:rPr>
              <w:t>Heilbehandlung Vornberg</w:t>
            </w:r>
          </w:p>
        </w:tc>
        <w:tc>
          <w:tcPr>
            <w:tcW w:type="dxa" w:w="2268"/>
          </w:tcPr>
          <w:p>
            <w:r>
              <w:rPr>
                <w:rFonts w:ascii="Times New Roman" w:hAnsi="Times New Roman"/>
                <w:sz w:val="20"/>
              </w:rPr>
              <w:t>ca. 9.500 EUR</w:t>
            </w:r>
          </w:p>
        </w:tc>
        <w:tc>
          <w:tcPr>
            <w:tcW w:type="dxa" w:w="2268"/>
          </w:tcPr>
          <w:p>
            <w:r>
              <w:rPr>
                <w:rFonts w:ascii="Times New Roman" w:hAnsi="Times New Roman"/>
                <w:sz w:val="20"/>
              </w:rPr>
              <w:t>7.125 EUR</w:t>
            </w:r>
          </w:p>
        </w:tc>
        <w:tc>
          <w:tcPr>
            <w:tcW w:type="dxa" w:w="2268"/>
          </w:tcPr>
          <w:p>
            <w:r>
              <w:rPr>
                <w:rFonts w:ascii="Times New Roman" w:hAnsi="Times New Roman"/>
                <w:sz w:val="20"/>
              </w:rPr>
              <w:t>2.375 EUR</w:t>
            </w:r>
          </w:p>
        </w:tc>
      </w:tr>
    </w:tbl>
    <w:p>
      <w:pPr>
        <w:jc w:val="left"/>
      </w:pPr>
      <w:r>
        <w:rPr>
          <w:b/>
        </w:rPr>
        <w:t>Rückgriffsrisiko Tannenbruck:</w:t>
      </w:r>
      <w:r>
        <w:t xml:space="preserve"> Im Fall von Leistungskürzung durch HUK-Coburg gem. § 81 Abs. 2 VVG (grobe Fahrlässigkeit, Alkohol) droht Rückgriff auf Tannenbruck für 50–100 % der regulierten Beträge. Begrenzungsverhandlung mit HUK-Coburg erforderlich.</w:t>
      </w:r>
    </w:p>
    <w:p/>
    <w:p>
      <w:pPr>
        <w:jc w:val="left"/>
      </w:pPr>
      <w:r>
        <w:rPr>
          <w:i/>
        </w:rPr>
        <w:t>Quotenberechnung erstellt 20.02.2026 — RA Sebastian Hoffmann</w:t>
      </w:r>
    </w:p>
    <w:p>
      <w:pPr>
        <w:jc w:val="left"/>
      </w:pPr>
      <w:r>
        <w:rPr>
          <w:i/>
        </w:rPr>
        <w:t>Detaillierte XLSX-Berechnung in Anlage: `xlsx/quotentabelle_haftungsanteile.xlsx`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