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MPU-Vorbereitung — Terminplan und Maßnahmenübersicht</w:t>
      </w:r>
    </w:p>
    <w:p>
      <w:pPr>
        <w:jc w:val="left"/>
      </w:pPr>
      <w:r>
        <w:rPr>
          <w:b/>
        </w:rPr>
        <w:t>Mandant:</w:t>
      </w:r>
      <w:r>
        <w:t xml:space="preserve"> Holger Tannenbruck</w:t>
      </w:r>
    </w:p>
    <w:p>
      <w:pPr>
        <w:jc w:val="left"/>
      </w:pPr>
      <w:r>
        <w:rPr>
          <w:b/>
        </w:rPr>
        <w:t>Erstellt:</w:t>
      </w:r>
      <w:r>
        <w:t xml:space="preserve"> 20.01.2026</w:t>
      </w:r>
    </w:p>
    <w:p>
      <w:pPr>
        <w:jc w:val="left"/>
      </w:pPr>
      <w:r>
        <w:rPr>
          <w:b/>
        </w:rPr>
        <w:t>Berater:</w:t>
      </w:r>
      <w:r>
        <w:t xml:space="preserve"> RA Sebastian Hoffmann + MPU-Beratungsstelle</w:t>
      </w:r>
    </w:p>
    <w:p>
      <w:pPr>
        <w:jc w:val="left"/>
      </w:pPr>
      <w:r>
        <w:rPr>
          <w:b/>
        </w:rPr>
        <w:t>MPU-Stelle (vorläufig empfohlen):</w:t>
      </w:r>
      <w:r>
        <w:t xml:space="preserve"> TÜV Rheinland, Köln (oder alternativ: DEKRA Essen)</w:t>
      </w:r>
    </w:p>
    <w:p/>
    <w:p>
      <w:pPr>
        <w:pStyle w:val="Heading2"/>
      </w:pPr>
      <w:r>
        <w:rPr>
          <w:rFonts w:ascii="Times New Roman" w:hAnsi="Times New Roman"/>
        </w:rPr>
        <w:t>I. Warum MPU?</w:t>
      </w:r>
    </w:p>
    <w:p>
      <w:pPr>
        <w:jc w:val="left"/>
      </w:pPr>
      <w:r>
        <w:t>Die MPU (Medizinisch-Psychologische Untersuchung) ist in Tannenbrucks Fall aus zwei Gründen erforderlich:</w:t>
      </w:r>
    </w:p>
    <w:p>
      <w:pPr>
        <w:pStyle w:val="Heading3"/>
      </w:pPr>
      <w:r>
        <w:rPr>
          <w:rFonts w:ascii="Times New Roman" w:hAnsi="Times New Roman"/>
        </w:rPr>
        <w:t>1. Strafgericht (§ 69 StGB)</w:t>
      </w:r>
    </w:p>
    <w:p>
      <w:pPr>
        <w:jc w:val="left"/>
      </w:pPr>
      <w:r>
        <w:t>Das Strafgericht (AG Hagen, voraussichtlich) wird die Fahrerlaubnis entziehen. Vor Wiedererteilung ist bei Trunkenheitsdelikten mit BAK ≥ 1,6 ‰ zwingend, bei BAK zwischen 0,5 und 1,6 ‰ mit Unfallfolgen ebenfalls häufig eine MPU als Bedingung gestellt (§ 13 Nr. 2c FeV). Hier: BAK ca. 1,2–1,4 ‰ (Rückrechnung) + Unfallfolgen → MPU sehr wahrscheinlich.</w:t>
      </w:r>
    </w:p>
    <w:p>
      <w:pPr>
        <w:pStyle w:val="Heading3"/>
      </w:pPr>
      <w:r>
        <w:rPr>
          <w:rFonts w:ascii="Times New Roman" w:hAnsi="Times New Roman"/>
        </w:rPr>
        <w:t>2. Fahrerlaubnisbehörde (§ 13 FeV, § 11 FeV)</w:t>
      </w:r>
    </w:p>
    <w:p>
      <w:pPr>
        <w:jc w:val="left"/>
      </w:pPr>
      <w:r>
        <w:t>Die Fahrerlaubnisbehörde des Märkischen Kreises fordert parallel eine MPU nach § 13 Satz 1 Nr. 2c FeV, wenn:</w:t>
      </w:r>
    </w:p>
    <w:p>
      <w:pPr>
        <w:pStyle w:val="ListBullet"/>
      </w:pPr>
      <w:r>
        <w:t xml:space="preserve">BAK ≥ 1,6 ‰ </w:t>
      </w:r>
      <w:r>
        <w:rPr>
          <w:b/>
        </w:rPr>
        <w:t>oder</w:t>
      </w:r>
    </w:p>
    <w:p>
      <w:pPr>
        <w:pStyle w:val="ListBullet"/>
      </w:pPr>
      <w:r>
        <w:t>BAK zwischen 0,5 und 1,6 ‰ mit Hinweisen auf Alkohol-Wiederholungsgefahr oder Missbrauch</w:t>
      </w:r>
    </w:p>
    <w:p>
      <w:pPr>
        <w:jc w:val="left"/>
      </w:pPr>
      <w:r>
        <w:t>Der CDT-Wert (1,8 % — leicht erhöht) und der Gamma-GT-Wert (62 U/l) aus dem Blutgutachten geben Anlass zur Prüfung einer Alkohol-Gewöhnung. Damit ist eine MPU-Anforderung durch die Behörde faktisch sicher.</w:t>
      </w:r>
    </w:p>
    <w:p/>
    <w:p>
      <w:pPr>
        <w:pStyle w:val="Heading2"/>
      </w:pPr>
      <w:r>
        <w:rPr>
          <w:rFonts w:ascii="Times New Roman" w:hAnsi="Times New Roman"/>
        </w:rPr>
        <w:t>II. MPU — Was wird geprüft?</w:t>
      </w:r>
    </w:p>
    <w:p>
      <w:pPr>
        <w:jc w:val="left"/>
      </w:pPr>
      <w:r>
        <w:t>Die MPU besteht aus drei Teilen:</w:t>
      </w:r>
    </w:p>
    <w:p>
      <w:pPr>
        <w:pStyle w:val="Heading3"/>
      </w:pPr>
      <w:r>
        <w:rPr>
          <w:rFonts w:ascii="Times New Roman" w:hAnsi="Times New Roman"/>
        </w:rPr>
        <w:t>Medizinischer Teil</w:t>
      </w:r>
    </w:p>
    <w:p>
      <w:pPr>
        <w:pStyle w:val="ListBullet"/>
      </w:pPr>
      <w:r>
        <w:t>Allgemeine Gesundheitsuntersuchung</w:t>
      </w:r>
    </w:p>
    <w:p>
      <w:pPr>
        <w:pStyle w:val="ListBullet"/>
      </w:pPr>
      <w:r>
        <w:t>Blutbild, Leberwerte (Gamma-GT, GOT, GPT)</w:t>
      </w:r>
    </w:p>
    <w:p>
      <w:pPr>
        <w:pStyle w:val="ListBullet"/>
      </w:pPr>
      <w:r>
        <w:t xml:space="preserve">Alkohol-Marker: </w:t>
      </w:r>
      <w:r>
        <w:rPr>
          <w:b/>
        </w:rPr>
        <w:t>CDT (Carbohydrat-Defizientes Transferrin)</w:t>
      </w:r>
      <w:r>
        <w:t xml:space="preserve"> — wichtigster Langzeit-Marker</w:t>
      </w:r>
    </w:p>
    <w:p>
      <w:pPr>
        <w:pStyle w:val="ListBullet"/>
      </w:pPr>
      <w:r>
        <w:t>Haaranalyse (EtG — Ethylglucuronid) für Abstinenznachweis der letzten 3–6 Monate (vgl. Aktenstück 18)</w:t>
      </w:r>
    </w:p>
    <w:p>
      <w:pPr>
        <w:pStyle w:val="ListBullet"/>
      </w:pPr>
      <w:r>
        <w:t>Urintest</w:t>
      </w:r>
    </w:p>
    <w:p>
      <w:pPr>
        <w:pStyle w:val="Heading3"/>
      </w:pPr>
      <w:r>
        <w:rPr>
          <w:rFonts w:ascii="Times New Roman" w:hAnsi="Times New Roman"/>
        </w:rPr>
        <w:t>Leistungstest (Psychotechnischer Teil)</w:t>
      </w:r>
    </w:p>
    <w:p>
      <w:pPr>
        <w:pStyle w:val="ListBullet"/>
      </w:pPr>
      <w:r>
        <w:t>Reaktionsvermögen (Reaktionszeitmessung)</w:t>
      </w:r>
    </w:p>
    <w:p>
      <w:pPr>
        <w:pStyle w:val="ListBullet"/>
      </w:pPr>
      <w:r>
        <w:t>Konzentrationsleistung (Wiener Testsystem)</w:t>
      </w:r>
    </w:p>
    <w:p>
      <w:pPr>
        <w:pStyle w:val="ListBullet"/>
      </w:pPr>
      <w:r>
        <w:t>Belastbarkeit</w:t>
      </w:r>
    </w:p>
    <w:p>
      <w:pPr>
        <w:pStyle w:val="ListBullet"/>
      </w:pPr>
      <w:r>
        <w:t>Überblicksgewinnung</w:t>
      </w:r>
    </w:p>
    <w:p>
      <w:pPr>
        <w:pStyle w:val="Heading3"/>
      </w:pPr>
      <w:r>
        <w:rPr>
          <w:rFonts w:ascii="Times New Roman" w:hAnsi="Times New Roman"/>
        </w:rPr>
        <w:t>Psychologisches Gespräch</w:t>
      </w:r>
    </w:p>
    <w:p>
      <w:pPr>
        <w:pStyle w:val="ListBullet"/>
      </w:pPr>
      <w:r>
        <w:t>Exploration der Alkohol-Vorgeschichte</w:t>
      </w:r>
    </w:p>
    <w:p>
      <w:pPr>
        <w:pStyle w:val="ListBullet"/>
      </w:pPr>
      <w:r>
        <w:t>Überzeugender Nachweis der Verhaltensänderung (Abstinenz oder kontrollierter Konsum)</w:t>
      </w:r>
    </w:p>
    <w:p>
      <w:pPr>
        <w:pStyle w:val="ListBullet"/>
      </w:pPr>
      <w:r>
        <w:t>Soziales Umfeld, Stressfaktoren, Berufs- und Familiensituation</w:t>
      </w:r>
    </w:p>
    <w:p>
      <w:pPr>
        <w:pStyle w:val="ListBullet"/>
      </w:pPr>
      <w:r>
        <w:t>Glaubwürdigkeit der Veränderungsmotivation</w:t>
      </w:r>
    </w:p>
    <w:p/>
    <w:p>
      <w:pPr>
        <w:pStyle w:val="Heading2"/>
      </w:pPr>
      <w:r>
        <w:rPr>
          <w:rFonts w:ascii="Times New Roman" w:hAnsi="Times New Roman"/>
        </w:rPr>
        <w:t>III. Terminplan MPU-Vorbereitung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Monat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Januar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Erstgespräch RA Hoffmann — MPU-Strategie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 15.01.2026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Hoffmann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Januar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Erstgespräch MPU-Beratungsstelle (DEKRA Essen, Frau Dipl.-Psych. Rehkopf)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 27.01.2026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Tannenbruck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Januar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Hausarzt aufsuchen: Laborwerte (CDT, GGT, GOT, GPT, Blutbild)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 22.01.2026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Tannenbruck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Februar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Aufnahme Beratungsgespräche Suchtberatungsstelle (SKF Lüdenscheid)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 (2 × Monat)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Tannenbruck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Februar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 Haaranalyse (EtG, Zeitpunkt T0 für Dreimonatsnachverfolgung)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06.02.2026 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Tannenbruck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Februar–Mai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Selbsthilfegruppe (AA Lüdenscheid, freitags)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Tannenbruck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Zweite Laborwerte-Kontrolle (CDT, Gamma-GT)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 15.03.2026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Hausarzt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Reaktionstest-Training (DEKRA Essen, Simulationsgerät)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Sitzungen April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Tannenbruck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Dritte Laborwerte-Kontrolle + Haaranalyse (EtG 3 Monate)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Geplant 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Hausarzt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Mai/Juni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Anmeldung MPU (TÜV Rheinland oder DEKRA) — Termin frühestens möglich nach 6 Monaten Abstinenznachweis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Zieltermin Juni/Juli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Hoffmann koordiniert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Juni/Juli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MPU-Termin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Zieltermin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Tannenbruck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Abstinenzstrategie</w:t>
      </w:r>
    </w:p>
    <w:p>
      <w:pPr>
        <w:pStyle w:val="Heading3"/>
      </w:pPr>
      <w:r>
        <w:rPr>
          <w:rFonts w:ascii="Times New Roman" w:hAnsi="Times New Roman"/>
        </w:rPr>
        <w:t>Option A: Totale Alkohol-Abstinenz (empfohlen)</w:t>
      </w:r>
    </w:p>
    <w:p>
      <w:pPr>
        <w:jc w:val="left"/>
      </w:pPr>
      <w:r>
        <w:t>Bei BAK &gt; 1,6 ‰ ist Abstinenz Pflicht. Bei BAK von 1,2–1,4 ‰ (Tannenbruck) ist Abstinenz ebenfalls der sicherste Weg zum MPU-Bestehen, da die erhöhten Lebermarker eine Gewöhnung andeuten.</w:t>
      </w:r>
    </w:p>
    <w:p>
      <w:pPr>
        <w:jc w:val="left"/>
      </w:pPr>
      <w:r>
        <w:rPr>
          <w:b/>
        </w:rPr>
        <w:t>Abstinenz-Nachweismittel:</w:t>
      </w:r>
    </w:p>
    <w:p>
      <w:pPr>
        <w:pStyle w:val="ListNumber"/>
      </w:pPr>
      <w:r>
        <w:t>CDT-Wert alle 6–8 Wochen (Normalisierung bei Abstinenz nach ca. 2–4 Wochen)</w:t>
      </w:r>
    </w:p>
    <w:p>
      <w:pPr>
        <w:pStyle w:val="ListNumber"/>
      </w:pPr>
      <w:r>
        <w:t>EtG-Haaranalyse: Abstinenz nachweisbar bis 6 cm Haarlänge = 6 Monate Abstinenz</w:t>
      </w:r>
    </w:p>
    <w:p>
      <w:pPr>
        <w:pStyle w:val="ListNumber"/>
      </w:pPr>
      <w:r>
        <w:t>Gamma-GT: Normalisierung bei Abstinenz nach ca. 4–8 Wochen</w:t>
      </w:r>
    </w:p>
    <w:p>
      <w:pPr>
        <w:pStyle w:val="ListNumber"/>
      </w:pPr>
      <w:r>
        <w:t>Tagebuch (von DEKRA-Beraterin Rehkopf empfohlen)</w:t>
      </w:r>
    </w:p>
    <w:p>
      <w:pPr>
        <w:pStyle w:val="ListNumber"/>
      </w:pPr>
      <w:r>
        <w:t>Zeugen (Ehefrau, Kollegen): Keine sozialen Trinkanlässe mehr</w:t>
      </w:r>
    </w:p>
    <w:p>
      <w:pPr>
        <w:pStyle w:val="Heading3"/>
      </w:pPr>
      <w:r>
        <w:rPr>
          <w:rFonts w:ascii="Times New Roman" w:hAnsi="Times New Roman"/>
        </w:rPr>
        <w:t>Option B: Kontrollierter Konsum (risikoreich)</w:t>
      </w:r>
    </w:p>
    <w:p>
      <w:pPr>
        <w:jc w:val="left"/>
      </w:pPr>
      <w:r>
        <w:t>Bei der vorliegenden BAK und den erhöhten Laborwerten nicht empfohlen. MPU-Begutachter würden kontrollierten Konsum bei dieser Vorgeschichte kaum als glaubhaft und stabilisiert bewerten.</w:t>
      </w:r>
    </w:p>
    <w:p>
      <w:pPr>
        <w:jc w:val="left"/>
      </w:pPr>
      <w:r>
        <w:rPr>
          <w:b/>
        </w:rPr>
        <w:t>Entscheidung:</w:t>
      </w:r>
      <w:r>
        <w:t xml:space="preserve"> Tannenbruck hat sich für </w:t>
      </w:r>
      <w:r>
        <w:rPr>
          <w:b/>
        </w:rPr>
        <w:t>vollständige Abstinenz</w:t>
      </w:r>
      <w:r>
        <w:t xml:space="preserve"> entschieden (bestätigt 15.01.2026).</w:t>
      </w:r>
    </w:p>
    <w:p/>
    <w:p>
      <w:pPr>
        <w:pStyle w:val="Heading2"/>
      </w:pPr>
      <w:r>
        <w:rPr>
          <w:rFonts w:ascii="Times New Roman" w:hAnsi="Times New Roman"/>
        </w:rPr>
        <w:t>V. Kritische Faktoren und 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Gegenmaßnahme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CDT-Normalisierung zu langsam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hängt von konstitutionellen Faktoren ab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Engmaschige Laborkontrollen, Hausarzt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Haaranalyse zeigt Konsum in den letzten 3 Monaten (vor 12.01.2026)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Haare enthalten EtG auch vor dem Unfall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Haaranalyse muss Periode ab Jan. 2026 zeigen → Haare ggf. kurz schneiden, Zeitraum explizit datieren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Leistungstest — Reaktionszeit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 — Tannenbruck ist 52, Reaktionszeit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Reaktionstraining DEKRA, Leistungstest-Vorbereitung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Psychologisches Gespräch — Glaubwürdigkeit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— MPU scheitert am häufigsten hier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Beratungsgespräche mit Psych. Rehkopf, authentische Reflexion, Selbsthilfegruppe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Beruflicher Druck → Rückfall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 — Außendienst-Stress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Gespräch mit Arbeitgeber, Stressmanagement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VI. Rechtliche Koordination (RA Hoffmann)</w:t>
      </w:r>
    </w:p>
    <w:p>
      <w:pPr>
        <w:pStyle w:val="ListBullet"/>
      </w:pPr>
      <w:r>
        <w:t>Abstimmung mit Strafgericht (AG Hagen): Informieren, dass MPU-Vorbereitung läuft — ggf. beim Strafmaß berücksichtigt (§ 46 StGB, postnegative Umstände)</w:t>
      </w:r>
    </w:p>
    <w:p>
      <w:pPr>
        <w:pStyle w:val="ListBullet"/>
      </w:pPr>
      <w:r>
        <w:t>Abstimmung mit Fahrerlaubnisbehörde (MK): MPU-Anordnung abwarten, dann bestreiten oder kooperieren?</w:t>
      </w:r>
    </w:p>
    <w:p>
      <w:pPr>
        <w:pStyle w:val="ListBullet"/>
      </w:pPr>
      <w:r>
        <w:t xml:space="preserve">Ziel: Fahrerlaubnis-Neuerteilung </w:t>
      </w:r>
      <w:r>
        <w:rPr>
          <w:b/>
        </w:rPr>
        <w:t>frühestmöglich nach Ablauf der gerichtlichen Sperrfrist</w:t>
      </w:r>
    </w:p>
    <w:p/>
    <w:p>
      <w:pPr>
        <w:jc w:val="left"/>
      </w:pPr>
      <w:r>
        <w:rPr>
          <w:i/>
        </w:rPr>
        <w:t>Stand: 20.01.2026 — RA Sebastian Hoffmann / Dipl.-Psych. A. Rehkopf (DEKRA Essen)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