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Kanzleinotiz — Gesamtstrategie Mandat Tannenbruck</w:t>
      </w:r>
    </w:p>
    <w:p>
      <w:pPr>
        <w:jc w:val="left"/>
      </w:pPr>
      <w:r>
        <w:rPr>
          <w:b/>
        </w:rPr>
        <w:t>Kanzlei:</w:t>
      </w:r>
      <w:r>
        <w:t xml:space="preserve"> Hoffmann Verkehrsrecht, Lüdenscheid</w:t>
      </w:r>
    </w:p>
    <w:p>
      <w:pPr>
        <w:jc w:val="left"/>
      </w:pPr>
      <w:r>
        <w:rPr>
          <w:b/>
        </w:rPr>
        <w:t>Bearbeiter:</w:t>
      </w:r>
      <w:r>
        <w:t xml:space="preserve"> RA Sebastian Hoffmann</w:t>
      </w:r>
    </w:p>
    <w:p>
      <w:pPr>
        <w:jc w:val="left"/>
      </w:pPr>
      <w:r>
        <w:rPr>
          <w:b/>
        </w:rPr>
        <w:t>Datum:</w:t>
      </w:r>
      <w:r>
        <w:t xml:space="preserve"> 25.04.2026</w:t>
      </w:r>
    </w:p>
    <w:p>
      <w:pPr>
        <w:jc w:val="left"/>
      </w:pPr>
      <w:r>
        <w:rPr>
          <w:b/>
        </w:rPr>
        <w:t>Mandant:</w:t>
      </w:r>
      <w:r>
        <w:t xml:space="preserve"> Holger Tannenbruck</w:t>
      </w:r>
    </w:p>
    <w:p>
      <w:pPr>
        <w:jc w:val="left"/>
      </w:pPr>
      <w:r>
        <w:rPr>
          <w:b/>
        </w:rPr>
        <w:t>Verfahren:</w:t>
      </w:r>
      <w:r>
        <w:t xml:space="preserve"> Strafverfahren + OWi + Fahrerlaubnisrecht + Zivilrecht (4 parallele Stränge)</w:t>
      </w:r>
    </w:p>
    <w:p/>
    <w:p>
      <w:pPr>
        <w:pStyle w:val="Heading2"/>
      </w:pPr>
      <w:r>
        <w:rPr>
          <w:rFonts w:ascii="Times New Roman" w:hAnsi="Times New Roman"/>
        </w:rPr>
        <w:t>I. Überblick Verfahrensstände (Stand 25.04.2026)</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Verfahren</w:t>
            </w:r>
          </w:p>
        </w:tc>
        <w:tc>
          <w:tcPr>
            <w:tcW w:type="dxa" w:w="2268"/>
          </w:tcPr>
          <w:p>
            <w:r>
              <w:rPr>
                <w:rFonts w:ascii="Times New Roman" w:hAnsi="Times New Roman"/>
                <w:b/>
                <w:sz w:val="20"/>
              </w:rPr>
              <w:t>Status</w:t>
            </w:r>
          </w:p>
        </w:tc>
        <w:tc>
          <w:tcPr>
            <w:tcW w:type="dxa" w:w="2268"/>
          </w:tcPr>
          <w:p>
            <w:r>
              <w:rPr>
                <w:rFonts w:ascii="Times New Roman" w:hAnsi="Times New Roman"/>
                <w:b/>
                <w:sz w:val="20"/>
              </w:rPr>
              <w:t>Nächste Frist</w:t>
            </w:r>
          </w:p>
        </w:tc>
        <w:tc>
          <w:tcPr>
            <w:tcW w:type="dxa" w:w="2268"/>
          </w:tcPr>
          <w:p>
            <w:r>
              <w:rPr>
                <w:rFonts w:ascii="Times New Roman" w:hAnsi="Times New Roman"/>
                <w:b/>
                <w:sz w:val="20"/>
              </w:rPr>
              <w:t>Priorität</w:t>
            </w:r>
          </w:p>
        </w:tc>
      </w:tr>
      <w:tr>
        <w:tc>
          <w:tcPr>
            <w:tcW w:type="dxa" w:w="2268"/>
          </w:tcPr>
          <w:p>
            <w:r>
              <w:rPr>
                <w:rFonts w:ascii="Times New Roman" w:hAnsi="Times New Roman"/>
                <w:sz w:val="20"/>
              </w:rPr>
              <w:t>Strafverfahren § 315c StGB (StA Hagen 83 Js 7411/26)</w:t>
            </w:r>
          </w:p>
        </w:tc>
        <w:tc>
          <w:tcPr>
            <w:tcW w:type="dxa" w:w="2268"/>
          </w:tcPr>
          <w:p>
            <w:r>
              <w:rPr>
                <w:rFonts w:ascii="Times New Roman" w:hAnsi="Times New Roman"/>
                <w:sz w:val="20"/>
              </w:rPr>
              <w:t>Ermittlung läuft</w:t>
            </w:r>
          </w:p>
        </w:tc>
        <w:tc>
          <w:tcPr>
            <w:tcW w:type="dxa" w:w="2268"/>
          </w:tcPr>
          <w:p>
            <w:r>
              <w:rPr>
                <w:rFonts w:ascii="Times New Roman" w:hAnsi="Times New Roman"/>
                <w:sz w:val="20"/>
              </w:rPr>
              <w:t>Stellungnahme 20.05.2026</w:t>
            </w:r>
          </w:p>
        </w:tc>
        <w:tc>
          <w:tcPr>
            <w:tcW w:type="dxa" w:w="2268"/>
          </w:tcPr>
          <w:p>
            <w:r>
              <w:rPr>
                <w:rFonts w:ascii="Times New Roman" w:hAnsi="Times New Roman"/>
                <w:sz w:val="20"/>
              </w:rPr>
              <w:t>Hoch</w:t>
            </w:r>
          </w:p>
        </w:tc>
      </w:tr>
      <w:tr>
        <w:tc>
          <w:tcPr>
            <w:tcW w:type="dxa" w:w="2268"/>
          </w:tcPr>
          <w:p>
            <w:r>
              <w:rPr>
                <w:rFonts w:ascii="Times New Roman" w:hAnsi="Times New Roman"/>
                <w:sz w:val="20"/>
              </w:rPr>
              <w:t>OWi Geschwindigkeit (AG Lüdenscheid 40 OWi-83 Js 7411/26)</w:t>
            </w:r>
          </w:p>
        </w:tc>
        <w:tc>
          <w:tcPr>
            <w:tcW w:type="dxa" w:w="2268"/>
          </w:tcPr>
          <w:p>
            <w:r>
              <w:rPr>
                <w:rFonts w:ascii="Times New Roman" w:hAnsi="Times New Roman"/>
                <w:sz w:val="20"/>
              </w:rPr>
              <w:t>Einspruch eingelegt</w:t>
            </w:r>
          </w:p>
        </w:tc>
        <w:tc>
          <w:tcPr>
            <w:tcW w:type="dxa" w:w="2268"/>
          </w:tcPr>
          <w:p>
            <w:r>
              <w:rPr>
                <w:rFonts w:ascii="Times New Roman" w:hAnsi="Times New Roman"/>
                <w:sz w:val="20"/>
              </w:rPr>
              <w:t>Hauptverhandlung offen</w:t>
            </w:r>
          </w:p>
        </w:tc>
        <w:tc>
          <w:tcPr>
            <w:tcW w:type="dxa" w:w="2268"/>
          </w:tcPr>
          <w:p>
            <w:r>
              <w:rPr>
                <w:rFonts w:ascii="Times New Roman" w:hAnsi="Times New Roman"/>
                <w:sz w:val="20"/>
              </w:rPr>
              <w:t>Mittel</w:t>
            </w:r>
          </w:p>
        </w:tc>
      </w:tr>
      <w:tr>
        <w:tc>
          <w:tcPr>
            <w:tcW w:type="dxa" w:w="2268"/>
          </w:tcPr>
          <w:p>
            <w:r>
              <w:rPr>
                <w:rFonts w:ascii="Times New Roman" w:hAnsi="Times New Roman"/>
                <w:sz w:val="20"/>
              </w:rPr>
              <w:t>FL-Entziehung § 111a StPO (AG Hagen Gs 112/26)</w:t>
            </w:r>
          </w:p>
        </w:tc>
        <w:tc>
          <w:tcPr>
            <w:tcW w:type="dxa" w:w="2268"/>
          </w:tcPr>
          <w:p>
            <w:r>
              <w:rPr>
                <w:rFonts w:ascii="Times New Roman" w:hAnsi="Times New Roman"/>
                <w:sz w:val="20"/>
              </w:rPr>
              <w:t>Vorläufig entzogen</w:t>
            </w:r>
          </w:p>
        </w:tc>
        <w:tc>
          <w:tcPr>
            <w:tcW w:type="dxa" w:w="2268"/>
          </w:tcPr>
          <w:p>
            <w:r>
              <w:rPr>
                <w:rFonts w:ascii="Times New Roman" w:hAnsi="Times New Roman"/>
                <w:sz w:val="20"/>
              </w:rPr>
              <w:t>MPU-Termin Juni/Juli 2026</w:t>
            </w:r>
          </w:p>
        </w:tc>
        <w:tc>
          <w:tcPr>
            <w:tcW w:type="dxa" w:w="2268"/>
          </w:tcPr>
          <w:p>
            <w:r>
              <w:rPr>
                <w:rFonts w:ascii="Times New Roman" w:hAnsi="Times New Roman"/>
                <w:sz w:val="20"/>
              </w:rPr>
              <w:t>Hoch</w:t>
            </w:r>
          </w:p>
        </w:tc>
      </w:tr>
      <w:tr>
        <w:tc>
          <w:tcPr>
            <w:tcW w:type="dxa" w:w="2268"/>
          </w:tcPr>
          <w:p>
            <w:r>
              <w:rPr>
                <w:rFonts w:ascii="Times New Roman" w:hAnsi="Times New Roman"/>
                <w:sz w:val="20"/>
              </w:rPr>
              <w:t>Zivilrecht Allianz vs. HUK/Tannenbruck (LG Hagen 4 O 211/26)</w:t>
            </w:r>
          </w:p>
        </w:tc>
        <w:tc>
          <w:tcPr>
            <w:tcW w:type="dxa" w:w="2268"/>
          </w:tcPr>
          <w:p>
            <w:r>
              <w:rPr>
                <w:rFonts w:ascii="Times New Roman" w:hAnsi="Times New Roman"/>
                <w:sz w:val="20"/>
              </w:rPr>
              <w:t>Klageerwiderung eingereicht</w:t>
            </w:r>
          </w:p>
        </w:tc>
        <w:tc>
          <w:tcPr>
            <w:tcW w:type="dxa" w:w="2268"/>
          </w:tcPr>
          <w:p>
            <w:r>
              <w:rPr>
                <w:rFonts w:ascii="Times New Roman" w:hAnsi="Times New Roman"/>
                <w:sz w:val="20"/>
              </w:rPr>
              <w:t>Güterichtertermin Mai 2026</w:t>
            </w:r>
          </w:p>
        </w:tc>
        <w:tc>
          <w:tcPr>
            <w:tcW w:type="dxa" w:w="2268"/>
          </w:tcPr>
          <w:p>
            <w:r>
              <w:rPr>
                <w:rFonts w:ascii="Times New Roman" w:hAnsi="Times New Roman"/>
                <w:sz w:val="20"/>
              </w:rPr>
              <w:t>Mittel</w:t>
            </w:r>
          </w:p>
        </w:tc>
      </w:tr>
      <w:tr>
        <w:tc>
          <w:tcPr>
            <w:tcW w:type="dxa" w:w="2268"/>
          </w:tcPr>
          <w:p>
            <w:r>
              <w:rPr>
                <w:rFonts w:ascii="Times New Roman" w:hAnsi="Times New Roman"/>
                <w:sz w:val="20"/>
              </w:rPr>
              <w:t>Zivilrecht Vornberg vs. Tannenbruck/HUK (LG Hagen, erwartet)</w:t>
            </w:r>
          </w:p>
        </w:tc>
        <w:tc>
          <w:tcPr>
            <w:tcW w:type="dxa" w:w="2268"/>
          </w:tcPr>
          <w:p>
            <w:r>
              <w:rPr>
                <w:rFonts w:ascii="Times New Roman" w:hAnsi="Times New Roman"/>
                <w:sz w:val="20"/>
              </w:rPr>
              <w:t>TOA abgeschlossen</w:t>
            </w:r>
          </w:p>
        </w:tc>
        <w:tc>
          <w:tcPr>
            <w:tcW w:type="dxa" w:w="2268"/>
          </w:tcPr>
          <w:p>
            <w:r>
              <w:rPr>
                <w:rFonts w:ascii="Times New Roman" w:hAnsi="Times New Roman"/>
                <w:sz w:val="20"/>
              </w:rPr>
              <w:t>Klageeingang erwartet</w:t>
            </w:r>
          </w:p>
        </w:tc>
        <w:tc>
          <w:tcPr>
            <w:tcW w:type="dxa" w:w="2268"/>
          </w:tcPr>
          <w:p>
            <w:r>
              <w:rPr>
                <w:rFonts w:ascii="Times New Roman" w:hAnsi="Times New Roman"/>
                <w:sz w:val="20"/>
              </w:rPr>
              <w:t>Mittel</w:t>
            </w:r>
          </w:p>
        </w:tc>
      </w:tr>
    </w:tbl>
    <w:p/>
    <w:p>
      <w:pPr>
        <w:pStyle w:val="Heading2"/>
      </w:pPr>
      <w:r>
        <w:rPr>
          <w:rFonts w:ascii="Times New Roman" w:hAnsi="Times New Roman"/>
        </w:rPr>
        <w:t>II. Strafrechtliche Strategie</w:t>
      </w:r>
    </w:p>
    <w:p>
      <w:pPr>
        <w:pStyle w:val="Heading3"/>
      </w:pPr>
      <w:r>
        <w:rPr>
          <w:rFonts w:ascii="Times New Roman" w:hAnsi="Times New Roman"/>
        </w:rPr>
        <w:t>Kernziel: § 316 StGB statt § 315c StGB</w:t>
      </w:r>
    </w:p>
    <w:p>
      <w:pPr>
        <w:jc w:val="left"/>
      </w:pPr>
      <w:r>
        <w:t>Der gravierendste Unterschied im Strafmaß liegt zwischen § 316 StGB (max. 1 Jahr / Geldstrafe) und § 315c StGB (max. 5 Jahre). Unser Ziel ist die Qualifikation auf § 316 StGB durch:</w:t>
      </w:r>
    </w:p>
    <w:p>
      <w:pPr>
        <w:jc w:val="left"/>
      </w:pPr>
      <w:r>
        <w:rPr>
          <w:b/>
        </w:rPr>
        <w:t>Argument 1 — Fehlende konkrete Gefährdung nach § 315c StGB:</w:t>
      </w:r>
    </w:p>
    <w:p>
      <w:pPr>
        <w:jc w:val="left"/>
      </w:pPr>
      <w:r>
        <w:t xml:space="preserve">§ 315c StGB erfordert eine </w:t>
      </w:r>
      <w:r>
        <w:rPr>
          <w:b/>
        </w:rPr>
        <w:t>individualisierte konkrete Gefahr</w:t>
      </w:r>
      <w:r>
        <w:t xml:space="preserve"> für eine bestimmte Person oder Sache. Ein Auffahrunfall allein begründet nicht zwingend eine solche konkrete Gefährdung — nach BGH NJW 2003, 1613 muss die Gefährdung aus einer spezifischen Handlung (nicht dem Unfall selbst) resultieren.</w:t>
      </w:r>
    </w:p>
    <w:p>
      <w:pPr>
        <w:jc w:val="left"/>
      </w:pPr>
      <w:r>
        <w:t>Das SV-Gutachten zeigt: Die Kollision war nach technischer Analyse hauptsächlich auf die Kombination aus überhöhter Geschwindigkeit, unzureichendem Abstand und verlängerter Reaktionszeit zurückzuführen. Ob die alkoholtypische Reaktionszeitverlängerung allein die konkrete Gefährdung von Vornberg als bestimmter Person begründet, ist rechtlich offen.</w:t>
      </w:r>
    </w:p>
    <w:p>
      <w:pPr>
        <w:jc w:val="left"/>
      </w:pPr>
      <w:r>
        <w:rPr>
          <w:b/>
        </w:rPr>
        <w:t>Argument 2 — Mitverursachung Sattelzug:</w:t>
      </w:r>
    </w:p>
    <w:p>
      <w:pPr>
        <w:jc w:val="left"/>
      </w:pPr>
      <w:r>
        <w:t>Das Bremsmanöver des Sattelzuges ist eine eigenständige Ursache der Kollision. Wenn der hypothetische nüchterne Fahrer bei gleichem Bremsmanöver ebenfalls nicht reagiert hätte (was nach dem SV-Gutachten jedenfalls bei einem Abstand von 65–70 m fraglich ist), dann fehlt der äquivalente Kausalzusammenhang zwischen Alkohol und Gefährdung.</w:t>
      </w:r>
    </w:p>
    <w:p>
      <w:pPr>
        <w:jc w:val="left"/>
      </w:pPr>
      <w:r>
        <w:rPr>
          <w:b/>
        </w:rPr>
        <w:t>Argument 3 — TOA und Nachtatverhalten (§ 46 StGB):</w:t>
      </w:r>
    </w:p>
    <w:p>
      <w:pPr>
        <w:jc w:val="left"/>
      </w:pPr>
      <w:r>
        <w:t>Täter-Opfer-Ausgleich dokumentiert und dem Gericht mitgeteilt. Abstinenz-Nachweis durch Haaranalyse positiv. AA-Teilnahme belegt. Suchtberatung läuft. Dies ist ein erhebliches Nachtatverhalten zugunsten des Mandanten.</w:t>
      </w:r>
    </w:p>
    <w:p>
      <w:pPr>
        <w:pStyle w:val="Heading3"/>
      </w:pPr>
      <w:r>
        <w:rPr>
          <w:rFonts w:ascii="Times New Roman" w:hAnsi="Times New Roman"/>
        </w:rPr>
        <w:t>Optionen bei der Hauptverhandlung</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Option</w:t>
            </w:r>
          </w:p>
        </w:tc>
        <w:tc>
          <w:tcPr>
            <w:tcW w:type="dxa" w:w="3024"/>
          </w:tcPr>
          <w:p>
            <w:r>
              <w:rPr>
                <w:rFonts w:ascii="Times New Roman" w:hAnsi="Times New Roman"/>
                <w:b/>
                <w:sz w:val="20"/>
              </w:rPr>
              <w:t>Voraussetzung</w:t>
            </w:r>
          </w:p>
        </w:tc>
        <w:tc>
          <w:tcPr>
            <w:tcW w:type="dxa" w:w="3024"/>
          </w:tcPr>
          <w:p>
            <w:r>
              <w:rPr>
                <w:rFonts w:ascii="Times New Roman" w:hAnsi="Times New Roman"/>
                <w:b/>
                <w:sz w:val="20"/>
              </w:rPr>
              <w:t>Ergebnis</w:t>
            </w:r>
          </w:p>
        </w:tc>
      </w:tr>
      <w:tr>
        <w:tc>
          <w:tcPr>
            <w:tcW w:type="dxa" w:w="3024"/>
          </w:tcPr>
          <w:p>
            <w:r>
              <w:rPr>
                <w:rFonts w:ascii="Times New Roman" w:hAnsi="Times New Roman"/>
                <w:sz w:val="20"/>
              </w:rPr>
              <w:t>Einstellung § 153a StPO</w:t>
            </w:r>
          </w:p>
        </w:tc>
        <w:tc>
          <w:tcPr>
            <w:tcW w:type="dxa" w:w="3024"/>
          </w:tcPr>
          <w:p>
            <w:r>
              <w:rPr>
                <w:rFonts w:ascii="Times New Roman" w:hAnsi="Times New Roman"/>
                <w:sz w:val="20"/>
              </w:rPr>
              <w:t>Zustimmung StA und Gericht</w:t>
            </w:r>
          </w:p>
        </w:tc>
        <w:tc>
          <w:tcPr>
            <w:tcW w:type="dxa" w:w="3024"/>
          </w:tcPr>
          <w:p>
            <w:r>
              <w:rPr>
                <w:rFonts w:ascii="Times New Roman" w:hAnsi="Times New Roman"/>
                <w:sz w:val="20"/>
              </w:rPr>
              <w:t>Auflagen (Geldbuße + MPU) — kein Vorwurf im BZR</w:t>
            </w:r>
          </w:p>
        </w:tc>
      </w:tr>
      <w:tr>
        <w:tc>
          <w:tcPr>
            <w:tcW w:type="dxa" w:w="3024"/>
          </w:tcPr>
          <w:p>
            <w:r>
              <w:rPr>
                <w:rFonts w:ascii="Times New Roman" w:hAnsi="Times New Roman"/>
                <w:sz w:val="20"/>
              </w:rPr>
              <w:t>Geldstrafe § 316 StGB</w:t>
            </w:r>
          </w:p>
        </w:tc>
        <w:tc>
          <w:tcPr>
            <w:tcW w:type="dxa" w:w="3024"/>
          </w:tcPr>
          <w:p>
            <w:r>
              <w:rPr>
                <w:rFonts w:ascii="Times New Roman" w:hAnsi="Times New Roman"/>
                <w:sz w:val="20"/>
              </w:rPr>
              <w:t>Tatbestand auf § 316 StGB reduziert</w:t>
            </w:r>
          </w:p>
        </w:tc>
        <w:tc>
          <w:tcPr>
            <w:tcW w:type="dxa" w:w="3024"/>
          </w:tcPr>
          <w:p>
            <w:r>
              <w:rPr>
                <w:rFonts w:ascii="Times New Roman" w:hAnsi="Times New Roman"/>
                <w:sz w:val="20"/>
              </w:rPr>
              <w:t>60–90 Tagessätze, FL-Sperrfrist 6–9 Monate</w:t>
            </w:r>
          </w:p>
        </w:tc>
      </w:tr>
      <w:tr>
        <w:tc>
          <w:tcPr>
            <w:tcW w:type="dxa" w:w="3024"/>
          </w:tcPr>
          <w:p>
            <w:r>
              <w:rPr>
                <w:rFonts w:ascii="Times New Roman" w:hAnsi="Times New Roman"/>
                <w:sz w:val="20"/>
              </w:rPr>
              <w:t>Bewährungsstrafe § 315c StGB</w:t>
            </w:r>
          </w:p>
        </w:tc>
        <w:tc>
          <w:tcPr>
            <w:tcW w:type="dxa" w:w="3024"/>
          </w:tcPr>
          <w:p>
            <w:r>
              <w:rPr>
                <w:rFonts w:ascii="Times New Roman" w:hAnsi="Times New Roman"/>
                <w:sz w:val="20"/>
              </w:rPr>
              <w:t>Schuld festgestellt, aber Wohlverhalten</w:t>
            </w:r>
          </w:p>
        </w:tc>
        <w:tc>
          <w:tcPr>
            <w:tcW w:type="dxa" w:w="3024"/>
          </w:tcPr>
          <w:p>
            <w:r>
              <w:rPr>
                <w:rFonts w:ascii="Times New Roman" w:hAnsi="Times New Roman"/>
                <w:sz w:val="20"/>
              </w:rPr>
              <w:t>6 Monate auf Bewährung, Sperrfrist 9–12 Monate</w:t>
            </w:r>
          </w:p>
        </w:tc>
      </w:tr>
      <w:tr>
        <w:tc>
          <w:tcPr>
            <w:tcW w:type="dxa" w:w="3024"/>
          </w:tcPr>
          <w:p>
            <w:r>
              <w:rPr>
                <w:rFonts w:ascii="Times New Roman" w:hAnsi="Times New Roman"/>
                <w:sz w:val="20"/>
              </w:rPr>
              <w:t>Geständnis + kooperative Einlassung</w:t>
            </w:r>
          </w:p>
        </w:tc>
        <w:tc>
          <w:tcPr>
            <w:tcW w:type="dxa" w:w="3024"/>
          </w:tcPr>
          <w:p>
            <w:r>
              <w:rPr>
                <w:rFonts w:ascii="Times New Roman" w:hAnsi="Times New Roman"/>
                <w:sz w:val="20"/>
              </w:rPr>
              <w:t>Empfehlenswert</w:t>
            </w:r>
          </w:p>
        </w:tc>
        <w:tc>
          <w:tcPr>
            <w:tcW w:type="dxa" w:w="3024"/>
          </w:tcPr>
          <w:p>
            <w:r>
              <w:rPr>
                <w:rFonts w:ascii="Times New Roman" w:hAnsi="Times New Roman"/>
                <w:sz w:val="20"/>
              </w:rPr>
              <w:t>Strafmilderung obligatorisch</w:t>
            </w:r>
          </w:p>
        </w:tc>
      </w:tr>
    </w:tbl>
    <w:p>
      <w:pPr>
        <w:jc w:val="left"/>
      </w:pPr>
      <w:r>
        <w:rPr>
          <w:b/>
        </w:rPr>
        <w:t>Empfehlung:</w:t>
      </w:r>
      <w:r>
        <w:t xml:space="preserve"> Einlassung nach vollständiger Akteneinsicht (Gutachten, Zeugenaussagen) abgeben. Geständnis zum Trinken und Fahren — aber Abgrenzung: keine konkrete Gefährdung i.S.d. § 315c StGB vortragen. Strafmilderungsgründe (TOA, Abstinenz, Berufssituation) vollumfänglich ausschöpfen.</w:t>
      </w:r>
    </w:p>
    <w:p/>
    <w:p>
      <w:pPr>
        <w:pStyle w:val="Heading2"/>
      </w:pPr>
      <w:r>
        <w:rPr>
          <w:rFonts w:ascii="Times New Roman" w:hAnsi="Times New Roman"/>
        </w:rPr>
        <w:t>III. OWi-Strategie (Geschwindigkeit)</w:t>
      </w:r>
    </w:p>
    <w:p>
      <w:pPr>
        <w:jc w:val="left"/>
      </w:pPr>
      <w:r>
        <w:t>Das OWi-Verfahren ist nachrangig. Die formellen Rügen (Messprotokoll, Beschilderung) sind vorgetragen. Hauptziel: Verfahrenseinstellung oder Reduzierung auf eine geringere Bußgeldstufe.</w:t>
      </w:r>
    </w:p>
    <w:p>
      <w:pPr>
        <w:jc w:val="left"/>
      </w:pPr>
      <w:r>
        <w:t>Falls das Strafverfahren zu einer Verurteilung führt, sollte die OWi-Behörde das Verfahren nach § 21 OWiG (Vorrang der Strafverfolgung) einstellen. RA Hoffmann wird das koordinieren.</w:t>
      </w:r>
    </w:p>
    <w:p/>
    <w:p>
      <w:pPr>
        <w:pStyle w:val="Heading2"/>
      </w:pPr>
      <w:r>
        <w:rPr>
          <w:rFonts w:ascii="Times New Roman" w:hAnsi="Times New Roman"/>
        </w:rPr>
        <w:t>IV. Fahrerlaubnisrechtliche Strategie</w:t>
      </w:r>
    </w:p>
    <w:p>
      <w:pPr>
        <w:pStyle w:val="Heading3"/>
      </w:pPr>
      <w:r>
        <w:rPr>
          <w:rFonts w:ascii="Times New Roman" w:hAnsi="Times New Roman"/>
        </w:rPr>
        <w:t>Kurzfristig (bis Hauptverhandlung)</w:t>
      </w:r>
    </w:p>
    <w:p>
      <w:pPr>
        <w:jc w:val="left"/>
      </w:pPr>
      <w:r>
        <w:t>Die vorläufige Entziehung nach § 111a StPO ist nicht anfechtbar mit Erfolgsaussicht. Tannenbruck muss ohne Fahrerlaubnis auskommen. Arbeitgeber (Klimatechnik Tannenbruck GmbH) hat temporär eine Bürolösung gefunden.</w:t>
      </w:r>
    </w:p>
    <w:p>
      <w:pPr>
        <w:pStyle w:val="Heading3"/>
      </w:pPr>
      <w:r>
        <w:rPr>
          <w:rFonts w:ascii="Times New Roman" w:hAnsi="Times New Roman"/>
        </w:rPr>
        <w:t>Mittelfristig (nach Urteil)</w:t>
      </w:r>
    </w:p>
    <w:p>
      <w:pPr>
        <w:jc w:val="left"/>
      </w:pPr>
      <w:r>
        <w:t>Sobald das Strafurteil rechtskräftig ist, beginnt die gerichtliche Sperrfrist zu laufen — abzüglich der bereits verflossenen Zeit seit § 111a-Beschluss (ab 12.01.2026).</w:t>
      </w:r>
    </w:p>
    <w:p>
      <w:pPr>
        <w:jc w:val="left"/>
      </w:pPr>
      <w:r>
        <w:t>Bei einer angestrebten Sperrfrist von 9 Monaten (Szenario § 316 StGB mit günstigem Verlauf):</w:t>
      </w:r>
    </w:p>
    <w:p>
      <w:pPr>
        <w:pStyle w:val="ListBullet"/>
      </w:pPr>
      <w:r>
        <w:t>Beginn Sperrfrist: 12.01.2026</w:t>
      </w:r>
    </w:p>
    <w:p>
      <w:pPr>
        <w:pStyle w:val="ListBullet"/>
      </w:pPr>
      <w:r>
        <w:t>Ende: 12.10.2026 (bei 9 Monaten, abzüglich Vorläufig-Zeit)</w:t>
      </w:r>
    </w:p>
    <w:p>
      <w:pPr>
        <w:pStyle w:val="ListBullet"/>
      </w:pPr>
      <w:r>
        <w:t>MPU-Termin: Oktober/November 2026</w:t>
      </w:r>
    </w:p>
    <w:p>
      <w:pPr>
        <w:jc w:val="left"/>
      </w:pPr>
      <w:r>
        <w:t>Fahrerlaubnis-Neuerteilung durch Kreis MK (§ 20 FeV) erst nach:</w:t>
      </w:r>
    </w:p>
    <w:p>
      <w:pPr>
        <w:pStyle w:val="ListNumber"/>
      </w:pPr>
      <w:r>
        <w:t>Ablauf der Sperrfrist</w:t>
      </w:r>
    </w:p>
    <w:p>
      <w:pPr>
        <w:pStyle w:val="ListNumber"/>
      </w:pPr>
      <w:r>
        <w:t>Vorlage positivem MPU-Gutachten</w:t>
      </w:r>
    </w:p>
    <w:p>
      <w:pPr>
        <w:pStyle w:val="Heading3"/>
      </w:pPr>
      <w:r>
        <w:rPr>
          <w:rFonts w:ascii="Times New Roman" w:hAnsi="Times New Roman"/>
        </w:rPr>
        <w:t>MPU-Zeitplan</w:t>
      </w:r>
    </w:p>
    <w:p>
      <w:pPr>
        <w:jc w:val="left"/>
      </w:pPr>
      <w:r>
        <w:t>Haaranalyse-Follow-Up Oktober 2026 (6 Monate Abstinenz dokumentiert). MPU-Anmeldung Oktober 2026. MPU-Termin November 2026. Fahrerlaubnis-Neuerteilung: Dezember 2026 oder Januar 2027.</w:t>
      </w:r>
    </w:p>
    <w:p>
      <w:pPr>
        <w:jc w:val="left"/>
      </w:pPr>
      <w:r>
        <w:rPr>
          <w:b/>
        </w:rPr>
        <w:t>Ziel:</w:t>
      </w:r>
      <w:r>
        <w:t xml:space="preserve"> Tannenbruck hat bis Jahresende 2026 / Anfang 2027 seinen Führerschein zurück.</w:t>
      </w:r>
    </w:p>
    <w:p/>
    <w:p>
      <w:pPr>
        <w:pStyle w:val="Heading2"/>
      </w:pPr>
      <w:r>
        <w:rPr>
          <w:rFonts w:ascii="Times New Roman" w:hAnsi="Times New Roman"/>
        </w:rPr>
        <w:t>V. Zivilrechtliche Strategie</w:t>
      </w:r>
    </w:p>
    <w:p>
      <w:pPr>
        <w:pStyle w:val="Heading3"/>
      </w:pPr>
      <w:r>
        <w:rPr>
          <w:rFonts w:ascii="Times New Roman" w:hAnsi="Times New Roman"/>
        </w:rPr>
        <w:t>Allianz-Klage (LG Hagen 4 O 211/26)</w:t>
      </w:r>
    </w:p>
    <w:p>
      <w:pPr>
        <w:jc w:val="left"/>
      </w:pPr>
      <w:r>
        <w:t>Güterichtertermin Mai 2026 — Ziel: Vergleich auf Basis 75/25 (Tannenbruck/Niermann). Wenn HUK-Coburg mitspielt, kann das ohne Urteil geregelt werden.</w:t>
      </w:r>
    </w:p>
    <w:p>
      <w:pPr>
        <w:jc w:val="left"/>
      </w:pPr>
      <w:r>
        <w:rPr>
          <w:b/>
        </w:rPr>
        <w:t>Kritisch:</w:t>
      </w:r>
      <w:r>
        <w:t xml:space="preserve"> HUK-Coburg droht mit Regress gegen Tannenbruck wegen grober Fahrlässigkeit (§ 81 Abs. 2 VVG). Wir werden im Zuge des Vergleichs verhandeln, dass der Rückgriffsanspruch der HUK-Coburg auf maximal 30 % der regulierten Summen begrenzt wird (Billigkeitslösung nach § 242 BGB bei erkennbarer Härtesituation des Mandanten).</w:t>
      </w:r>
    </w:p>
    <w:p>
      <w:pPr>
        <w:pStyle w:val="Heading3"/>
      </w:pPr>
      <w:r>
        <w:rPr>
          <w:rFonts w:ascii="Times New Roman" w:hAnsi="Times New Roman"/>
        </w:rPr>
        <w:t>Vornberg-Klage (erwartet)</w:t>
      </w:r>
    </w:p>
    <w:p>
      <w:pPr>
        <w:jc w:val="left"/>
      </w:pPr>
      <w:r>
        <w:t>TOA schützt nicht vor Schmerzensgeld-Klage. HUK-Coburg wird Schmerzensgeld regulieren (Deckung dem Grunde nach unstrittig). Unsere Aufgabe: Schmerzensgeld-Betrag auf einen angemessenen Rahmen (12.000–15.000 EUR) begrenzen und Feststellungsantrag abwehren.</w:t>
      </w:r>
    </w:p>
    <w:p/>
    <w:p>
      <w:pPr>
        <w:pStyle w:val="Heading2"/>
      </w:pPr>
      <w:r>
        <w:rPr>
          <w:rFonts w:ascii="Times New Roman" w:hAnsi="Times New Roman"/>
        </w:rPr>
        <w:t>VI. Kommunikation mit Mandanten</w:t>
      </w:r>
    </w:p>
    <w:p>
      <w:pPr>
        <w:jc w:val="left"/>
      </w:pPr>
      <w:r>
        <w:t xml:space="preserve">Nächstes Besprechungsgespräch: </w:t>
      </w:r>
      <w:r>
        <w:rPr>
          <w:b/>
        </w:rPr>
        <w:t>12.05.2026</w:t>
      </w:r>
      <w:r>
        <w:t>, 15:00 Uhr, Kanzlei Hoffmann.</w:t>
      </w:r>
    </w:p>
    <w:p>
      <w:pPr>
        <w:jc w:val="left"/>
      </w:pPr>
      <w:r>
        <w:t>Tagesordnung:</w:t>
      </w:r>
    </w:p>
    <w:p>
      <w:pPr>
        <w:pStyle w:val="ListNumber"/>
      </w:pPr>
      <w:r>
        <w:t>Auswertung SV-Gutachten Rennsteig</w:t>
      </w:r>
    </w:p>
    <w:p>
      <w:pPr>
        <w:pStyle w:val="ListNumber"/>
      </w:pPr>
      <w:r>
        <w:t>Haaranalyse-Ergebnis besprechen</w:t>
      </w:r>
    </w:p>
    <w:p>
      <w:pPr>
        <w:pStyle w:val="ListNumber"/>
      </w:pPr>
      <w:r>
        <w:t>Strategie Stellungnahme StA Hagen (Frist 20.05.2026)</w:t>
      </w:r>
    </w:p>
    <w:p>
      <w:pPr>
        <w:pStyle w:val="ListNumber"/>
      </w:pPr>
      <w:r>
        <w:t>MPU-Vorbereitungsstand</w:t>
      </w:r>
    </w:p>
    <w:p>
      <w:pPr>
        <w:pStyle w:val="ListNumber"/>
      </w:pPr>
      <w:r>
        <w:t>Berufliche Situation (Update Klimatechnik Tannenbruck GmbH)</w:t>
      </w:r>
    </w:p>
    <w:p>
      <w:pPr>
        <w:jc w:val="left"/>
      </w:pPr>
      <w:r>
        <w:rPr>
          <w:b/>
        </w:rPr>
        <w:t>Tannenbruck ist kooperativ und hält alle Absprachen ein.</w:t>
      </w:r>
      <w:r>
        <w:t xml:space="preserve"> Alkohol-Abstinenz bestätigt. MPU-Vorbereitung läuft planmäßig.</w:t>
      </w:r>
    </w:p>
    <w:p/>
    <w:p>
      <w:pPr>
        <w:pStyle w:val="Heading2"/>
      </w:pPr>
      <w:r>
        <w:rPr>
          <w:rFonts w:ascii="Times New Roman" w:hAnsi="Times New Roman"/>
        </w:rPr>
        <w:t>VII. Risikoabwägung (Gesamtstrategie)</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Risiko</w:t>
            </w:r>
          </w:p>
        </w:tc>
        <w:tc>
          <w:tcPr>
            <w:tcW w:type="dxa" w:w="2268"/>
          </w:tcPr>
          <w:p>
            <w:r>
              <w:rPr>
                <w:rFonts w:ascii="Times New Roman" w:hAnsi="Times New Roman"/>
                <w:b/>
                <w:sz w:val="20"/>
              </w:rPr>
              <w:t>Wahrscheinlichkeit</w:t>
            </w:r>
          </w:p>
        </w:tc>
        <w:tc>
          <w:tcPr>
            <w:tcW w:type="dxa" w:w="2268"/>
          </w:tcPr>
          <w:p>
            <w:r>
              <w:rPr>
                <w:rFonts w:ascii="Times New Roman" w:hAnsi="Times New Roman"/>
                <w:b/>
                <w:sz w:val="20"/>
              </w:rPr>
              <w:t>Auswirkung</w:t>
            </w:r>
          </w:p>
        </w:tc>
        <w:tc>
          <w:tcPr>
            <w:tcW w:type="dxa" w:w="2268"/>
          </w:tcPr>
          <w:p>
            <w:r>
              <w:rPr>
                <w:rFonts w:ascii="Times New Roman" w:hAnsi="Times New Roman"/>
                <w:b/>
                <w:sz w:val="20"/>
              </w:rPr>
              <w:t>Maßnahme</w:t>
            </w:r>
          </w:p>
        </w:tc>
      </w:tr>
      <w:tr>
        <w:tc>
          <w:tcPr>
            <w:tcW w:type="dxa" w:w="2268"/>
          </w:tcPr>
          <w:p>
            <w:r>
              <w:rPr>
                <w:rFonts w:ascii="Times New Roman" w:hAnsi="Times New Roman"/>
                <w:sz w:val="20"/>
              </w:rPr>
              <w:t>Verurteilung § 315c StGB (nicht § 316)</w:t>
            </w:r>
          </w:p>
        </w:tc>
        <w:tc>
          <w:tcPr>
            <w:tcW w:type="dxa" w:w="2268"/>
          </w:tcPr>
          <w:p>
            <w:r>
              <w:rPr>
                <w:rFonts w:ascii="Times New Roman" w:hAnsi="Times New Roman"/>
                <w:sz w:val="20"/>
              </w:rPr>
              <w:t>Mittel (40 %)</w:t>
            </w:r>
          </w:p>
        </w:tc>
        <w:tc>
          <w:tcPr>
            <w:tcW w:type="dxa" w:w="2268"/>
          </w:tcPr>
          <w:p>
            <w:r>
              <w:rPr>
                <w:rFonts w:ascii="Times New Roman" w:hAnsi="Times New Roman"/>
                <w:sz w:val="20"/>
              </w:rPr>
              <w:t>Hoch (Bewährungsstrafe, lange Sperrfrist)</w:t>
            </w:r>
          </w:p>
        </w:tc>
        <w:tc>
          <w:tcPr>
            <w:tcW w:type="dxa" w:w="2268"/>
          </w:tcPr>
          <w:p>
            <w:r>
              <w:rPr>
                <w:rFonts w:ascii="Times New Roman" w:hAnsi="Times New Roman"/>
                <w:sz w:val="20"/>
              </w:rPr>
              <w:t>TOA, Gutachten, Mitverschulden LKW vortragen</w:t>
            </w:r>
          </w:p>
        </w:tc>
      </w:tr>
      <w:tr>
        <w:tc>
          <w:tcPr>
            <w:tcW w:type="dxa" w:w="2268"/>
          </w:tcPr>
          <w:p>
            <w:r>
              <w:rPr>
                <w:rFonts w:ascii="Times New Roman" w:hAnsi="Times New Roman"/>
                <w:sz w:val="20"/>
              </w:rPr>
              <w:t>MPU scheitert (Haaranalyse oder Gespräch)</w:t>
            </w:r>
          </w:p>
        </w:tc>
        <w:tc>
          <w:tcPr>
            <w:tcW w:type="dxa" w:w="2268"/>
          </w:tcPr>
          <w:p>
            <w:r>
              <w:rPr>
                <w:rFonts w:ascii="Times New Roman" w:hAnsi="Times New Roman"/>
                <w:sz w:val="20"/>
              </w:rPr>
              <w:t>Niedrig (15 %)</w:t>
            </w:r>
          </w:p>
        </w:tc>
        <w:tc>
          <w:tcPr>
            <w:tcW w:type="dxa" w:w="2268"/>
          </w:tcPr>
          <w:p>
            <w:r>
              <w:rPr>
                <w:rFonts w:ascii="Times New Roman" w:hAnsi="Times New Roman"/>
                <w:sz w:val="20"/>
              </w:rPr>
              <w:t>Sehr hoch (kein FL-Erwerb möglich)</w:t>
            </w:r>
          </w:p>
        </w:tc>
        <w:tc>
          <w:tcPr>
            <w:tcW w:type="dxa" w:w="2268"/>
          </w:tcPr>
          <w:p>
            <w:r>
              <w:rPr>
                <w:rFonts w:ascii="Times New Roman" w:hAnsi="Times New Roman"/>
                <w:sz w:val="20"/>
              </w:rPr>
              <w:t>Konsequente Vorbereitung, Rehkopf</w:t>
            </w:r>
          </w:p>
        </w:tc>
      </w:tr>
      <w:tr>
        <w:tc>
          <w:tcPr>
            <w:tcW w:type="dxa" w:w="2268"/>
          </w:tcPr>
          <w:p>
            <w:r>
              <w:rPr>
                <w:rFonts w:ascii="Times New Roman" w:hAnsi="Times New Roman"/>
                <w:sz w:val="20"/>
              </w:rPr>
              <w:t>HUK-Coburg Vollregress gegen Tannenbruck</w:t>
            </w:r>
          </w:p>
        </w:tc>
        <w:tc>
          <w:tcPr>
            <w:tcW w:type="dxa" w:w="2268"/>
          </w:tcPr>
          <w:p>
            <w:r>
              <w:rPr>
                <w:rFonts w:ascii="Times New Roman" w:hAnsi="Times New Roman"/>
                <w:sz w:val="20"/>
              </w:rPr>
              <w:t>Mittel (35 %)</w:t>
            </w:r>
          </w:p>
        </w:tc>
        <w:tc>
          <w:tcPr>
            <w:tcW w:type="dxa" w:w="2268"/>
          </w:tcPr>
          <w:p>
            <w:r>
              <w:rPr>
                <w:rFonts w:ascii="Times New Roman" w:hAnsi="Times New Roman"/>
                <w:sz w:val="20"/>
              </w:rPr>
              <w:t>Hoch (finanzielle Belastung)</w:t>
            </w:r>
          </w:p>
        </w:tc>
        <w:tc>
          <w:tcPr>
            <w:tcW w:type="dxa" w:w="2268"/>
          </w:tcPr>
          <w:p>
            <w:r>
              <w:rPr>
                <w:rFonts w:ascii="Times New Roman" w:hAnsi="Times New Roman"/>
                <w:sz w:val="20"/>
              </w:rPr>
              <w:t>Vergleich mit Rückgriffsdeckelung anstreben</w:t>
            </w:r>
          </w:p>
        </w:tc>
      </w:tr>
      <w:tr>
        <w:tc>
          <w:tcPr>
            <w:tcW w:type="dxa" w:w="2268"/>
          </w:tcPr>
          <w:p>
            <w:r>
              <w:rPr>
                <w:rFonts w:ascii="Times New Roman" w:hAnsi="Times New Roman"/>
                <w:sz w:val="20"/>
              </w:rPr>
              <w:t>Beruflicher Verlust (Kündigung wegen FL-Entzug)</w:t>
            </w:r>
          </w:p>
        </w:tc>
        <w:tc>
          <w:tcPr>
            <w:tcW w:type="dxa" w:w="2268"/>
          </w:tcPr>
          <w:p>
            <w:r>
              <w:rPr>
                <w:rFonts w:ascii="Times New Roman" w:hAnsi="Times New Roman"/>
                <w:sz w:val="20"/>
              </w:rPr>
              <w:t>Niedrig (20 %)</w:t>
            </w:r>
          </w:p>
        </w:tc>
        <w:tc>
          <w:tcPr>
            <w:tcW w:type="dxa" w:w="2268"/>
          </w:tcPr>
          <w:p>
            <w:r>
              <w:rPr>
                <w:rFonts w:ascii="Times New Roman" w:hAnsi="Times New Roman"/>
                <w:sz w:val="20"/>
              </w:rPr>
              <w:t>Sehr hoch</w:t>
            </w:r>
          </w:p>
        </w:tc>
        <w:tc>
          <w:tcPr>
            <w:tcW w:type="dxa" w:w="2268"/>
          </w:tcPr>
          <w:p>
            <w:r>
              <w:rPr>
                <w:rFonts w:ascii="Times New Roman" w:hAnsi="Times New Roman"/>
                <w:sz w:val="20"/>
              </w:rPr>
              <w:t>Frühzeitige Kommunikation Arbeitgeber</w:t>
            </w:r>
          </w:p>
        </w:tc>
      </w:tr>
    </w:tbl>
    <w:p/>
    <w:p>
      <w:pPr>
        <w:jc w:val="left"/>
      </w:pPr>
      <w:r>
        <w:rPr>
          <w:i/>
        </w:rPr>
        <w:t>Interne Kanzleinotiz — Vertraulich — RA Sebastian Hoffmann, 25.04.2026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