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Lilienfeld Verlag: Buchpreisbindung, Campuslizenz und Autorenhonorar</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Print, E-Book und Datenbankzugang werden gebündelt; gleichzeitig fordert der Autor Nachvergütung und ein Händler bietet angebliche Mängelexemplare zu früh rabattiert an.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Buchpreisbindungsgesetz §§ 3, 5, 7, 8, 9; Verlagsgesetz; UrhG §§ 31, 32, 32a, 32d, 32e; AGB-Recht §§ 305 ff. BGB.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