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Verlagsakte Buchpreisbindung und Lizenzvertrieb</w:t>
      </w:r>
    </w:p>
    <w:p>
      <w:pPr>
        <w:pStyle w:val="Heading2"/>
      </w:pPr>
      <w:r>
        <w:rPr>
          <w:rFonts w:ascii="Times New Roman" w:hAnsi="Times New Roman"/>
        </w:rPr>
        <w:t>Vollständige Gesprächsnotiz</w:t>
      </w:r>
    </w:p>
    <w:p>
      <w:pPr>
        <w:jc w:val="left"/>
      </w:pPr>
      <w:r>
        <w:t>Am 04.06.2026 schilderte Lilienfeld Fachverlag GmbH und Onlinehändler Buchnetz24 die Angelegenheit in einem längeren Telefonat. Gegenstand ist Rabattaktion unter gebundenem Ladenpreis, Kombipaket Print plus Datenbankzugang, Remissionen und Frage, ob ein institutioneller Bibliotheksrabatt zulässig strukturiert ist.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Buchnetz24 bewirbt “15 Prozent Sofortvorteil” für den Kommentar Krankenhausfinanzierung 2026. Der Händler erklärt, der Vorteil beziehe sich nur auf einen Gutschein für künftige Softwarekäufe. Parallel möchte der Verlag Bibliotheken ein Print-Datenbank-Bundle anbieten.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Vertrieb an Rechtsabteilung</w:t>
      </w:r>
    </w:p>
    <w:p>
      <w:pPr>
        <w:jc w:val="left"/>
      </w:pPr>
      <w:r>
        <w:t>```</w:t>
      </w:r>
    </w:p>
    <w:p>
      <w:pPr>
        <w:jc w:val="left"/>
      </w:pPr>
      <w:r>
        <w:t>Von:      vertrieb@lilienfeld-fachverlag.test</w:t>
      </w:r>
    </w:p>
    <w:p>
      <w:pPr>
        <w:jc w:val="left"/>
      </w:pPr>
      <w:r>
        <w:t>An:       legal@lilienfeld-fachverlag.test</w:t>
      </w:r>
    </w:p>
    <w:p>
      <w:pPr>
        <w:jc w:val="left"/>
      </w:pPr>
      <w:r>
        <w:t>Datum:    Do 04.06.2026, 08:47 Uhr</w:t>
      </w:r>
    </w:p>
    <w:p>
      <w:pPr>
        <w:jc w:val="left"/>
      </w:pPr>
      <w:r>
        <w:t>Betreff:  Buchnetz24 verkauft Kommentar unter Ladenpreis - was dürfen wir schreiben?</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trennen Sie Preisbindung, zulässige Nebenleistungen, Bundle-Kalkulation, Beweis der Werbung und Tonalität gegenüber einem wichtigen Vertriebspartner.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Lilienfeld Fachverlag GmbH und Onlinehändler Buchnetz24</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Aufforderungsschreiben an Händler und interne Pricing-Notiz</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