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Heftplan und Online First</w:t>
      </w:r>
    </w:p>
    <w:p>
      <w:pPr>
        <w:jc w:val="left"/>
      </w:pPr>
      <w:r>
        <w:rPr>
          <w:b/>
        </w:rPr>
        <w:t>Heft:</w:t>
      </w:r>
      <w:r>
        <w:t xml:space="preserve"> MFJ 2026/7 -- Juli-Ausgabe, Schwerpunkt KI &amp; Verlagsrecht</w:t>
      </w:r>
    </w:p>
    <w:p>
      <w:pPr>
        <w:jc w:val="left"/>
      </w:pPr>
      <w:r>
        <w:rPr>
          <w:b/>
        </w:rPr>
        <w:t>Erscheinen:</w:t>
      </w:r>
      <w:r>
        <w:t xml:space="preserve"> 04.07.2026 (Print), 30.06.2026 (Online-Vorabausgabe)</w:t>
      </w:r>
    </w:p>
    <w:p>
      <w:pPr>
        <w:jc w:val="left"/>
      </w:pPr>
      <w:r>
        <w:rPr>
          <w:b/>
        </w:rPr>
        <w:t>Umfang Soll:</w:t>
      </w:r>
      <w:r>
        <w:t xml:space="preserve"> 64 Seiten (ohne Anzeigen)</w:t>
      </w:r>
    </w:p>
    <w:p>
      <w:pPr>
        <w:jc w:val="left"/>
      </w:pPr>
      <w:r>
        <w:rPr>
          <w:b/>
        </w:rPr>
        <w:t>Stand Heft:</w:t>
      </w:r>
      <w:r>
        <w:t xml:space="preserve"> 01.06.2026, 08:00 Uhr -- 11 von 14 Beiträgen final, 3 offen</w:t>
      </w:r>
    </w:p>
    <w:p>
      <w:pPr>
        <w:pStyle w:val="Heading2"/>
      </w:pPr>
      <w:r>
        <w:rPr>
          <w:rFonts w:ascii="Times New Roman" w:hAnsi="Times New Roman"/>
        </w:rPr>
        <w:t>Heftplan MFJ 2026/7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Rubrik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Beitrag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Autor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Seitenbudget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Ist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Problem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Editorial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Editorial KI und Vertragsrecht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Herausgeberkreis (Dr. Lenz, Prof. Krenz)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Dr. Lenz schreibt noch, Text bis Mo 12:00 zugesagt, Stand offen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Aufsatz I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KI-Vertragsprüfung in Kanzleien -- empirische Befunde 2025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Seidenpfennig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zu lang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 Seiten, Fußnoten 18/24/31/44/63 unsauber, IV.3 wirkt wie Übernahme aus eigenem Gutachten Q4/2025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Aufsatz II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Datenraum-Sicherheit in mittelgroßen Kanzleien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Dr. Klemens Vortrup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gesetzt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ok, freigegeben 28.05.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Rechtsprechung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BGH-Entscheidung zur Plattformhaftung (Volltext folgt)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Lenz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fast fertig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Online first gewünscht; Randnummern und Praxisfolge werden erst nach amtlichem Volltext finalisiert, Volltext-Embargo der Pressestelle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Praxis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Datenschutz in Verlagen -- DSFA für Autorenverträge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Dr. Almut Greve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gesetzt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Abbildung aus Fremdquelle, Alt-Text fehlt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Praxis II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Rückrufrecht nach § 41 UrhG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Dr. Krug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freigegeben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Rezension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Handbuch Legal Tech, hg. Schramm-Wenders, 3. Aufl.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Rabenau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fertig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Screenshot aus Vortrag, Rechteproblem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Tagungsbericht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DAV-Forum 2025 KI &amp; Anwaltschaft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Wendt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gesetzt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Nachrichten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Gesetzgebung kurz -- DSA Umsetzung, EuGH KI-VO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Redaktion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eine Meldung fehlt (Bundesrat DSA-DG)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Buchanzeige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Handbuch Datenschutz in Verlagen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Marketing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Klappentext nicht fertig, Preis nicht fest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Impressum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Redaktion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Rechtsstandsdatum, Herausgeberzeile alt</w:t>
            </w:r>
          </w:p>
        </w:tc>
      </w:tr>
    </w:tbl>
    <w:p>
      <w:pPr>
        <w:jc w:val="left"/>
      </w:pPr>
      <w:r>
        <w:rPr>
          <w:b/>
        </w:rPr>
        <w:t>Umfangsstand:</w:t>
      </w:r>
      <w:r>
        <w:t xml:space="preserve"> 66 Seiten Soll bei 64 Seiten Budget. Zwei Seiten müssen weg.</w:t>
      </w:r>
    </w:p>
    <w:p>
      <w:pPr>
        <w:pStyle w:val="Heading2"/>
      </w:pPr>
      <w:r>
        <w:rPr>
          <w:rFonts w:ascii="Times New Roman" w:hAnsi="Times New Roman"/>
        </w:rPr>
        <w:t>Online-first-Wunsch (Lenz)</w:t>
      </w:r>
    </w:p>
    <w:p>
      <w:pPr>
        <w:jc w:val="left"/>
      </w:pPr>
      <w:r>
        <w:t>Dr. Lenz möchte die Rechtsprechungsanmerkung zur BGH-Entscheidung vom 20.05.2026 (Plattformhaftung) bereits diese Woche online stellen, vor Erscheinen des Heftes. Begründung: andere Verlage hätten die Entscheidung schon mit kurzen Tickermeldungen aufgegriffen, der MFJ-Beitrag verliere an Sichtbarkeit, wenn er erst Ende Juni komme.</w:t>
      </w:r>
    </w:p>
    <w:p>
      <w:pPr>
        <w:jc w:val="left"/>
      </w:pPr>
      <w:r>
        <w:t>Die Entscheidung ist frei in der BGH-Datenbank abrufbar (Termin-Vorschau); der Volltext erscheint laut Pressestelle voraussichtlich Mittwoch 03.06. Die Anmerkung enthält zwei noch nicht freigegebene Arbeitsstellen. Erstens muss der Randnummernverweis nach Erscheinen des amtlichen Volltexts eingetragen werden; zweitens soll die Praxisfolge für Verlagshäuser konkretisiert werden, insbesondere die Frage, ob redaktionelle Plattformhinweise anders zu behandeln sind als automatisierte Upload- oder Empfehlungsfunktionen. Eine Veröffentlichung vor dieser Ergänzung wäre möglich, aber redaktionell riskant, weil sie den Beitrag wie eine Tickermeldung und nicht wie eine belastbare Anmerkung wirken ließe.</w:t>
      </w:r>
    </w:p>
    <w:p>
      <w:pPr>
        <w:jc w:val="left"/>
      </w:pPr>
      <w:r>
        <w:t>Die Pressestelle des BGH hat per E-Mail vom 30.05. mitgeteilt, dass der Volltext frühestens Mittwoch 03.06., 14:00 Uhr veröffentlicht wird. Eine vorherige Zitierung der Randnummern ist nicht möglich.</w:t>
      </w:r>
    </w:p>
    <w:p>
      <w:pPr>
        <w:pStyle w:val="Heading2"/>
      </w:pPr>
      <w:r>
        <w:rPr>
          <w:rFonts w:ascii="Times New Roman" w:hAnsi="Times New Roman"/>
        </w:rPr>
        <w:t>Offene Produktionsfragen</w:t>
      </w:r>
    </w:p>
    <w:p>
      <w:pPr>
        <w:pStyle w:val="ListNumber"/>
      </w:pPr>
      <w:r>
        <w:t>Wird der zu lange Aufsatz Seidenpfennig gekürzt (Ziel 20 Seiten), gesplittet (Teil 1 Heft 7, Teil 2 Heft 8) oder ins nächste Heft verschoben?</w:t>
      </w:r>
    </w:p>
    <w:p>
      <w:pPr>
        <w:pStyle w:val="ListNumber"/>
      </w:pPr>
      <w:r>
        <w:t>Darf die Praxis-Abbildung (Workflow-Grafik Greve) ohne Alt-Text in den Druck und nur online mit Alt-Text? Oder Druck-Stopp?</w:t>
      </w:r>
    </w:p>
    <w:p>
      <w:pPr>
        <w:pStyle w:val="ListNumber"/>
      </w:pPr>
      <w:r>
        <w:t>Wird die Rezension Rabenau ohne Screenshot veröffentlicht, oder bleibt der Beitrag mit gekennzeichneter Lücke?</w:t>
      </w:r>
    </w:p>
    <w:p>
      <w:pPr>
        <w:pStyle w:val="ListNumber"/>
      </w:pPr>
      <w:r>
        <w:t>Kann Online-first vor Heftfreigabe erfolgen? Verlagsregel "Online first nur bei freigegebener Manuskriptfassung" (Verlagsanweisung VA 2024-11) -- Anmerkung Lenz ist noch nicht freigegeben.</w:t>
      </w:r>
    </w:p>
    <w:p>
      <w:pPr>
        <w:pStyle w:val="ListNumber"/>
      </w:pPr>
      <w:r>
        <w:t>Wer übernimmt Schlusskorrektur nach Ausfall Lektorat Berber (Krankmeldung)?</w:t>
      </w:r>
    </w:p>
    <w:p>
      <w:pPr>
        <w:pStyle w:val="Heading2"/>
      </w:pPr>
      <w:r>
        <w:rPr>
          <w:rFonts w:ascii="Times New Roman" w:hAnsi="Times New Roman"/>
        </w:rPr>
        <w:t>Notiz Vertriebs-Jour-fixe Do 04.06.</w:t>
      </w:r>
    </w:p>
    <w:p>
      <w:pPr>
        <w:jc w:val="left"/>
      </w:pPr>
      <w:r>
        <w:t>Friederike Adam-Krenz (Vertrieb) hat im Voraus per Mail signalisiert, dass die Buchhandlungspartner für Heft 7 "klare Praxisbezüge" erwarten. Ihre Sorge: Wenn der Seidenpfennig-Aufsatz zu lang wird, schiebt er die "Praxis"-Rubrik in den hinteren Heftteil, und das spürt der Vertrieb in den Rückmeldebögen. Vertrieb hätte gerne eine kurze "Praxisbox" auf S. 1 des Aufsatzes, mit "Was Sie aus diesem Beitrag mitnehmen", maximal 5 Bulletpoints. Redaktion ist skeptisch -- das ist nicht der Tonfall der MFJ.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