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Manuskriptfragment Kommentarupdate</w:t>
      </w:r>
    </w:p>
    <w:p>
      <w:pPr>
        <w:pStyle w:val="Heading2"/>
      </w:pPr>
      <w:r>
        <w:rPr>
          <w:rFonts w:ascii="Times New Roman" w:hAnsi="Times New Roman"/>
        </w:rPr>
        <w:t>Arbeitstitel</w:t>
      </w:r>
    </w:p>
    <w:p>
      <w:pPr>
        <w:jc w:val="left"/>
      </w:pPr>
      <w:r>
        <w:t>§ 38 UrhG -- Beiträge zu Sammlungen -- Update für die 8. Auflage (geplant Erscheinen Q4/2026)</w:t>
      </w:r>
    </w:p>
    <w:p>
      <w:pPr>
        <w:pStyle w:val="Heading2"/>
      </w:pPr>
      <w:r>
        <w:rPr>
          <w:rFonts w:ascii="Times New Roman" w:hAnsi="Times New Roman"/>
        </w:rPr>
        <w:t>Stammdaten</w:t>
      </w:r>
    </w:p>
    <w:p>
      <w:pPr>
        <w:pStyle w:val="ListBullet"/>
      </w:pPr>
      <w:r>
        <w:rPr>
          <w:b/>
        </w:rPr>
        <w:t>Werk:</w:t>
      </w:r>
      <w:r>
        <w:t xml:space="preserve"> Morgenstern-Falkenhayn Kommentar zum Urheberrecht (MFK UrhG), Lieferung 47</w:t>
      </w:r>
    </w:p>
    <w:p>
      <w:pPr>
        <w:pStyle w:val="ListBullet"/>
      </w:pPr>
      <w:r>
        <w:rPr>
          <w:b/>
        </w:rPr>
        <w:t>Autorenteam:</w:t>
      </w:r>
      <w:r>
        <w:t xml:space="preserve"> PD Dr. Hannah Wendt / Prof. Dr. Lars Krug (beide Bucerius Law School)</w:t>
      </w:r>
    </w:p>
    <w:p>
      <w:pPr>
        <w:pStyle w:val="ListBullet"/>
      </w:pPr>
      <w:r>
        <w:rPr>
          <w:b/>
        </w:rPr>
        <w:t>Bisherige Bearbeitung:</w:t>
      </w:r>
      <w:r>
        <w:t xml:space="preserve"> Wendt/Krug seit der 6. Auflage 2018</w:t>
      </w:r>
    </w:p>
    <w:p>
      <w:pPr>
        <w:pStyle w:val="ListBullet"/>
      </w:pPr>
      <w:r>
        <w:rPr>
          <w:b/>
        </w:rPr>
        <w:t>Lieferung zugesagt:</w:t>
      </w:r>
      <w:r>
        <w:t xml:space="preserve"> 30.05.2026 (eingegangen So 31.05. 20:49, Korrektur So 21:14)</w:t>
      </w:r>
    </w:p>
    <w:p>
      <w:pPr>
        <w:pStyle w:val="ListBullet"/>
      </w:pPr>
      <w:r>
        <w:rPr>
          <w:b/>
        </w:rPr>
        <w:t>Rechtsstand laut Werksvorgabe:</w:t>
      </w:r>
      <w:r>
        <w:t xml:space="preserve"> 01.06.2026 -- im Notenfragment nicht bestätigt</w:t>
      </w:r>
    </w:p>
    <w:p>
      <w:pPr>
        <w:pStyle w:val="Heading2"/>
      </w:pPr>
      <w:r>
        <w:rPr>
          <w:rFonts w:ascii="Times New Roman" w:hAnsi="Times New Roman"/>
        </w:rPr>
        <w:t>Autorennotizen Wendt/Krug (Original, redaktionell kommentiert)</w:t>
      </w:r>
    </w:p>
    <w:p>
      <w:pPr>
        <w:ind w:left="567"/>
      </w:pPr>
      <w:r>
        <w:rPr>
          <w:i/>
        </w:rPr>
        <w:t>Rn. 1: § 38 bleibt für Verlagspraxis wichtig, wenn Beiträge in periodisch erscheinenden Sammlungen erscheinen. Nicht nur Zeitschrift, auch Online-Datenbank? Bitte prüfen.</w:t>
      </w:r>
    </w:p>
    <w:p>
      <w:pPr>
        <w:jc w:val="left"/>
      </w:pPr>
      <w:r>
        <w:rPr>
          <w:i/>
        </w:rPr>
        <w:t>[redaktioneller Kommentar Klee, 01.06.: Hier ist die Abgrenzungsfrage Zeitschrift / Sammelband / Datenbank zentral. Bitte ausarbeiten.]</w:t>
      </w:r>
    </w:p>
    <w:p>
      <w:pPr>
        <w:ind w:left="567"/>
      </w:pPr>
      <w:r>
        <w:rPr>
          <w:i/>
        </w:rPr>
        <w:t>Rn. 4: Zweitveröffentlichung wissenschaftlicher Beiträge, öffentlich geförderte Forschung, zwölf Monate. Muss sehr genau gefasst werden. -- Hinweis: Aktualisierung wegen Diskussion um Open-Access-Klausel im Forschungsdatenrahmen, aber noch keine geänderte Norm.</w:t>
      </w:r>
    </w:p>
    <w:p>
      <w:pPr>
        <w:jc w:val="left"/>
      </w:pPr>
      <w:r>
        <w:rPr>
          <w:i/>
        </w:rPr>
        <w:t>[redaktioneller Kommentar: ok, bleibt so. Quelle für "Diskussion" bitte ergänzen.]</w:t>
      </w:r>
    </w:p>
    <w:p>
      <w:pPr>
        <w:ind w:left="567"/>
      </w:pPr>
      <w:r>
        <w:rPr>
          <w:i/>
        </w:rPr>
        <w:t>Rn. 9: Verlagsvertragliche Abweichungen prüfen. Was ist zwingend? Zusammenhang mit § 32b? Bei Wandtke/Bullinger anders gefasst.</w:t>
      </w:r>
    </w:p>
    <w:p>
      <w:pPr>
        <w:jc w:val="left"/>
      </w:pPr>
      <w:r>
        <w:rPr>
          <w:i/>
        </w:rPr>
        <w:t>[redaktioneller Kommentar: Wandtke/Bullinger -- welche Auflage? Bitte präzisieren. Verweis sollte Pinpoint enthalten.]</w:t>
      </w:r>
    </w:p>
    <w:p>
      <w:pPr>
        <w:ind w:left="567"/>
      </w:pPr>
      <w:r>
        <w:rPr>
          <w:i/>
        </w:rPr>
        <w:t>Rn. 12: Praxisproblem: Autor will Beitrag nach sechs Monaten auf eigener Kanzleiwebsite einstellen. Verlag hat einfaches Nutzungsrecht? Exklusivrecht? Vertrag prüfen.</w:t>
      </w:r>
    </w:p>
    <w:p>
      <w:pPr>
        <w:jc w:val="left"/>
      </w:pPr>
      <w:r>
        <w:rPr>
          <w:i/>
        </w:rPr>
        <w:t>[redaktioneller Kommentar: STREICHEN gemäß Mail Wendt von So 21:14. Alternative Formulierung noch nicht vorliegend.]</w:t>
      </w:r>
    </w:p>
    <w:p>
      <w:pPr>
        <w:ind w:left="567"/>
      </w:pPr>
      <w:r>
        <w:rPr>
          <w:i/>
        </w:rPr>
        <w:t>Rn. 15: Übergang zu Open Access. Bitte keine politische Großdebatte. Nur Verlagspraxis.</w:t>
      </w:r>
    </w:p>
    <w:p>
      <w:pPr>
        <w:jc w:val="left"/>
      </w:pPr>
      <w:r>
        <w:rPr>
          <w:i/>
        </w:rPr>
        <w:t>[redaktioneller Kommentar: zustimmen. Im MFK halten wir den Stil sachlich.]</w:t>
      </w:r>
    </w:p>
    <w:p>
      <w:pPr>
        <w:ind w:left="567"/>
      </w:pPr>
      <w:r>
        <w:rPr>
          <w:i/>
        </w:rPr>
        <w:t>Rn. 17 [neu]: KI-gestützte Auswertung von Beiträgen in Sammlungen (Text- und Datamining). Hinweis auf § 44b UrhG. Frage: Bei wissenschaftlichen Beiträgen, die ohne Open-Access-Lizenz erscheinen -- besteht Opt-out?</w:t>
      </w:r>
    </w:p>
    <w:p>
      <w:pPr>
        <w:jc w:val="left"/>
      </w:pPr>
      <w:r>
        <w:rPr>
          <w:i/>
        </w:rPr>
        <w:t>[redaktioneller Kommentar: passt zum Heftthema KI. Sehr willkommen, aber bitte mit Pinpoint zu § 44b und § 60d UrhG und ggf. zu BMJ-FAQ.]</w:t>
      </w:r>
    </w:p>
    <w:p>
      <w:pPr>
        <w:ind w:left="567"/>
      </w:pPr>
      <w:r>
        <w:rPr>
          <w:i/>
        </w:rPr>
        <w:t>Rn. 19 [neu, vorläufig]: Verweis auf Datenraum für Manuskriptmanagement -- DSGVO und Auftragsverarbeitung. Knapp halten, da im DSGVO-Kapitel ausführlicher.</w:t>
      </w:r>
    </w:p>
    <w:p>
      <w:pPr>
        <w:jc w:val="left"/>
      </w:pPr>
      <w:r>
        <w:rPr>
          <w:i/>
        </w:rPr>
        <w:t>[redaktioneller Kommentar: knapp halten, Verweis auf Greve Praxis-Beitrag Heft 7 möglich.]</w:t>
      </w:r>
    </w:p>
    <w:p>
      <w:pPr>
        <w:pStyle w:val="Heading2"/>
      </w:pPr>
      <w:r>
        <w:rPr>
          <w:rFonts w:ascii="Times New Roman" w:hAnsi="Times New Roman"/>
        </w:rPr>
        <w:t>Lücken und Klärungsbedarf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 intern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Rechtsstandsdatum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Wendt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 03.06.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Pinpoint Wandtke/Bullinger (Auflage, Rn.)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Krug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 03.06.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Genauer Normwortlaut § 38 UrhG mit Stand 31.05.2026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offen, Redaktion holt selbst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Klee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 01.06.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Abgrenzung Zeitschrift / Sammelband / Datenbank ausarbeiten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Wendt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Herausgeberrunde Mo 08.06.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Streichung/Neufassung Rn. 12 (Korrektur So 21:14)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Wendt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 03.06.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Verweis Rn. 17 auf § 44b und § 60d UrhG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Krug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 03.06.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Beispiel für Autorenmail bei Zweitveröffentlichung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Redaktion liefert Mustertext aus Datenbank Verlagspraxis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Klee Fr 05.06.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Bezug zu BGH-Entscheidung Plattformhaftung (Lenz Heft 7)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nur prüfen, ob relevant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Wendt/Krug nach Volltextkenntnis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 08.06.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Hinweise für die Herausgeberrunde am 08.06.</w:t>
      </w:r>
    </w:p>
    <w:p>
      <w:pPr>
        <w:pStyle w:val="ListNumber"/>
      </w:pPr>
      <w:r>
        <w:t>Das Update steht inhaltlich tragend, ist aber technisch unfertig (Rechtsstand, Pinpoints).</w:t>
      </w:r>
    </w:p>
    <w:p>
      <w:pPr>
        <w:pStyle w:val="ListNumber"/>
      </w:pPr>
      <w:r>
        <w:t>Die Streichung Rn. 12 hat Auswirkungen auf den Quellenapparat der nachfolgenden Randnummern (Rn. 13, 14). Reihenfolge der Randnummerierung müsste neu vergeben werden, sobald die Endfassung vorliegt.</w:t>
      </w:r>
    </w:p>
    <w:p>
      <w:pPr>
        <w:pStyle w:val="ListNumber"/>
      </w:pPr>
      <w:r>
        <w:t>Rn. 17 (KI/TDM) ist neu und sollte vor der Veröffentlichung mit dem für § 44b zuständigen Autorenteam (Cremers, Anhalt) abgestimmt werden, damit kein Doppelkommentar zur gleichen Norm in unterschiedlichen Kapiteln steht.</w:t>
      </w:r>
    </w:p>
    <w:p>
      <w:pPr>
        <w:pStyle w:val="ListNumber"/>
      </w:pPr>
      <w:r>
        <w:t>Vorschlag: Update als "Lieferung 47 vorläufig" intern vermerken, Herausgeberrunde am 08.06. legt nach.</w:t>
      </w:r>
    </w:p>
    <w:p>
      <w:pPr>
        <w:pStyle w:val="Heading2"/>
      </w:pPr>
      <w:r>
        <w:rPr>
          <w:rFonts w:ascii="Times New Roman" w:hAnsi="Times New Roman"/>
        </w:rPr>
        <w:t>Quellenampel (Status der Belegbasis im Fragment)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Belegart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Beispiel im Fragment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38 UrhG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 (aktuelle Fassung verfügbar)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Gesetzgebungsmaterialien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BT-Drs. zu UrhG-Novelle 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 (Verweis ohne Pinpoint)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Rechtsprechung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--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im Fragment enthalten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Kommentarliteratur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Wandtke/Bullinger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 (Auflage unklar, kein Pinpoint)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Aufsätze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--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im Fragment enthalten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Verwaltungs-/Behördenpapier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BMJ-FAQ zu KI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 (im Kommentar nur ange-deutet)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