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Erwarteter Output</w:t>
      </w:r>
    </w:p>
    <w:p>
      <w:pPr>
        <w:pStyle w:val="Heading2"/>
      </w:pPr>
      <w:r>
        <w:rPr>
          <w:rFonts w:ascii="Times New Roman" w:hAnsi="Times New Roman"/>
        </w:rPr>
        <w:t>Was gute Plugin-Antworten leisten sollen</w:t>
      </w:r>
    </w:p>
    <w:p>
      <w:pPr>
        <w:pStyle w:val="ListBullet"/>
      </w:pPr>
      <w:r>
        <w:t xml:space="preserve">Mit einer </w:t>
      </w:r>
      <w:r>
        <w:rPr>
          <w:b/>
        </w:rPr>
        <w:t>Morgenlage</w:t>
      </w:r>
      <w:r>
        <w:t xml:space="preserve"> starten: 8-12 Bulletpoints oder eine kompakte Tabelle, in der die wichtigsten Eingänge mit Frist, Stopper und Verantwortlichkeit zusammengefasst sind.</w:t>
      </w:r>
    </w:p>
    <w:p>
      <w:pPr>
        <w:pStyle w:val="ListBullet"/>
      </w:pPr>
      <w:r>
        <w:t>Nicht zuerst zehn Rückfragen stellen, sondern aus dem vorhandenen Postfachstand eine Priorisierung formulieren.</w:t>
      </w:r>
    </w:p>
    <w:p>
      <w:pPr>
        <w:pStyle w:val="ListBullet"/>
      </w:pPr>
      <w:r>
        <w:rPr>
          <w:b/>
        </w:rPr>
        <w:t>Fahnenfrist</w:t>
      </w:r>
      <w:r>
        <w:t xml:space="preserve"> (Dienstag 12:00) und </w:t>
      </w:r>
      <w:r>
        <w:rPr>
          <w:b/>
        </w:rPr>
        <w:t>Screenshot-Rechteproblem</w:t>
      </w:r>
      <w:r>
        <w:t xml:space="preserve"> (Rabenau) priorisieren, weil beide hart sind.</w:t>
      </w:r>
    </w:p>
    <w:p>
      <w:pPr>
        <w:pStyle w:val="ListBullet"/>
      </w:pPr>
      <w:r>
        <w:rPr>
          <w:b/>
        </w:rPr>
        <w:t>Seidenpfennig-Kürzung</w:t>
      </w:r>
      <w:r>
        <w:t xml:space="preserve"> freundlich, aber konkret anfordern. Tonfall: hochgeschätzte Autorin, nicht Schulnotenlogik.</w:t>
      </w:r>
    </w:p>
    <w:p>
      <w:pPr>
        <w:pStyle w:val="ListBullet"/>
      </w:pPr>
      <w:r>
        <w:rPr>
          <w:b/>
        </w:rPr>
        <w:t>Wendt/Krug</w:t>
      </w:r>
      <w:r>
        <w:t xml:space="preserve"> nicht belehren, sondern Randnummern, Pinpoints und Rechtsstandsvermerk nachfordern; Rücksicht auf laufende Klausurenkorrekturen.</w:t>
      </w:r>
    </w:p>
    <w:p>
      <w:pPr>
        <w:pStyle w:val="ListBullet"/>
      </w:pPr>
      <w:r>
        <w:rPr>
          <w:b/>
        </w:rPr>
        <w:t>Bildrechte, Alt-Text und Drittquellen</w:t>
      </w:r>
      <w:r>
        <w:t xml:space="preserve"> trennen: nicht alles auf einen Stapel "Rechteproblem" werfen, sondern Rechteampel pro Abbildung.</w:t>
      </w:r>
    </w:p>
    <w:p>
      <w:pPr>
        <w:pStyle w:val="ListBullet"/>
      </w:pPr>
      <w:r>
        <w:rPr>
          <w:b/>
        </w:rPr>
        <w:t>Marketingtexte</w:t>
      </w:r>
      <w:r>
        <w:t xml:space="preserve"> mit Unsicherheiten formulieren -- Lücken benennen, nicht überschreiben (KI-Kapitel vorläufig, Preis offen, Cover Entwurf).</w:t>
      </w:r>
    </w:p>
    <w:p>
      <w:pPr>
        <w:pStyle w:val="ListBullet"/>
      </w:pPr>
      <w:r>
        <w:t xml:space="preserve">Keine </w:t>
      </w:r>
      <w:r>
        <w:rPr>
          <w:b/>
        </w:rPr>
        <w:t>erfundenen Fundstellen</w:t>
      </w:r>
      <w:r>
        <w:t xml:space="preserve"> -- weder BGH-Aktenzeichen mit phantasierter Randnummer noch nicht existierende Aufsätze.</w:t>
      </w:r>
    </w:p>
    <w:p>
      <w:pPr>
        <w:pStyle w:val="ListBullet"/>
      </w:pPr>
      <w:r>
        <w:t xml:space="preserve">Keine </w:t>
      </w:r>
      <w:r>
        <w:rPr>
          <w:b/>
        </w:rPr>
        <w:t>fremden Texte</w:t>
      </w:r>
      <w:r>
        <w:t xml:space="preserve"> übernehmen -- der eingeblendete Screenshot ist kein Verlagsgut, sondern fremdes Material in unklarer Lizenz.</w:t>
      </w:r>
    </w:p>
    <w:p>
      <w:pPr>
        <w:pStyle w:val="ListBullet"/>
      </w:pPr>
      <w:r>
        <w:rPr>
          <w:b/>
        </w:rPr>
        <w:t>KI-Einsatz</w:t>
      </w:r>
      <w:r>
        <w:t xml:space="preserve"> im redaktionellen Prozess sichtbar dokumentieren (welche Texte hat das System entworfen, welche hat ein Mensch redigiert?), entsprechend Verlags-Richtlinie KI 2025-03.</w:t>
      </w:r>
    </w:p>
    <w:p>
      <w:pPr>
        <w:pStyle w:val="Heading2"/>
      </w:pPr>
      <w:r>
        <w:rPr>
          <w:rFonts w:ascii="Times New Roman" w:hAnsi="Times New Roman"/>
        </w:rPr>
        <w:t>Was gute Plugin-Antworten nicht leisten sollen</w:t>
      </w:r>
    </w:p>
    <w:p>
      <w:pPr>
        <w:pStyle w:val="ListBullet"/>
      </w:pPr>
      <w:r>
        <w:t>Die Sachbearbeiterin mit juristischen Vorlesungen aufhalten (kein Lehrbuchkapitel zu § 38 UrhG, kein Exkurs zur Geschichte des Urheberrechts).</w:t>
      </w:r>
    </w:p>
    <w:p>
      <w:pPr>
        <w:pStyle w:val="ListBullet"/>
      </w:pPr>
      <w:r>
        <w:t>Das Screenshot-Problem als harmlos durchwinken ("der Autor wird schon die Rechte haben").</w:t>
      </w:r>
    </w:p>
    <w:p>
      <w:pPr>
        <w:pStyle w:val="ListBullet"/>
      </w:pPr>
      <w:r>
        <w:t>Echte Autorenzitate für Marketing erfinden, um den Klappentext lebendiger zu machen.</w:t>
      </w:r>
    </w:p>
    <w:p>
      <w:pPr>
        <w:pStyle w:val="ListBullet"/>
      </w:pPr>
      <w:r>
        <w:t>Die Online-first-Frage ohne Quellen- und Freigabestatus freigeben (Volltext-Embargo der BGH-Pressestelle, Verlagsregel VA 2024-11).</w:t>
      </w:r>
    </w:p>
    <w:p>
      <w:pPr>
        <w:pStyle w:val="ListBullet"/>
      </w:pPr>
      <w:r>
        <w:t>Die Honorarsache Niemczyk ohne Rücksprache mit Buchhaltung "rechtsicher" einordnen -- ohne Vertragsakte ist das nicht möglich.</w:t>
      </w:r>
    </w:p>
    <w:p>
      <w:pPr>
        <w:pStyle w:val="ListBullet"/>
      </w:pPr>
      <w:r>
        <w:t>Die Schlusskorrektur-Lücke durch Frau Berber unbemerkt durchrutschen lassen.</w:t>
      </w:r>
    </w:p>
    <w:p>
      <w:pPr>
        <w:pStyle w:val="Heading2"/>
      </w:pPr>
      <w:r>
        <w:rPr>
          <w:rFonts w:ascii="Times New Roman" w:hAnsi="Times New Roman"/>
        </w:rPr>
        <w:t>Erwartete Liefergegenstände aus einem Plugin-Lauf</w:t>
      </w:r>
    </w:p>
    <w:p>
      <w:pPr>
        <w:pStyle w:val="ListNumber"/>
      </w:pPr>
      <w:r>
        <w:rPr>
          <w:b/>
        </w:rPr>
        <w:t>Morgenlage Heute</w:t>
      </w:r>
      <w:r>
        <w:t xml:space="preserve"> mit Priorisierung (Stoppliste, Fristliste, Eskalationsfälle).</w:t>
      </w:r>
    </w:p>
    <w:p>
      <w:pPr>
        <w:pStyle w:val="ListNumber"/>
      </w:pPr>
      <w:r>
        <w:rPr>
          <w:b/>
        </w:rPr>
        <w:t>Mailentwurf Seidenpfennig</w:t>
      </w:r>
      <w:r>
        <w:t xml:space="preserve"> -- mit Bitte um Kürzung auf 20 Seiten, Pinpoints für Fußnoten 18/24/31/44/63, Rückfrage zu IV.3.</w:t>
      </w:r>
    </w:p>
    <w:p>
      <w:pPr>
        <w:pStyle w:val="ListNumber"/>
      </w:pPr>
      <w:r>
        <w:rPr>
          <w:b/>
        </w:rPr>
        <w:t>Mailentwurf Rabenau</w:t>
      </w:r>
      <w:r>
        <w:t xml:space="preserve"> -- Bildrechte Screenshot Folie 12 (Drittquelle, DAV-Genehmigung).</w:t>
      </w:r>
    </w:p>
    <w:p>
      <w:pPr>
        <w:pStyle w:val="ListNumber"/>
      </w:pPr>
      <w:r>
        <w:rPr>
          <w:b/>
        </w:rPr>
        <w:t>Mailentwurf Wendt/Krug</w:t>
      </w:r>
      <w:r>
        <w:t xml:space="preserve"> -- Rechtsstand, Pinpoints, Klärung Streichung Rn. 12.</w:t>
      </w:r>
    </w:p>
    <w:p>
      <w:pPr>
        <w:pStyle w:val="ListNumber"/>
      </w:pPr>
      <w:r>
        <w:rPr>
          <w:b/>
        </w:rPr>
        <w:t>Rechteampel</w:t>
      </w:r>
      <w:r>
        <w:t xml:space="preserve"> für alle Abbildungen mit Begründung pro Ampelstand.</w:t>
      </w:r>
    </w:p>
    <w:p>
      <w:pPr>
        <w:pStyle w:val="ListNumber"/>
      </w:pPr>
      <w:r>
        <w:rPr>
          <w:b/>
        </w:rPr>
        <w:t>Fahnen-Korrekturliste</w:t>
      </w:r>
      <w:r>
        <w:t xml:space="preserve"> mit Trennung "kann Klee selbst" / "geht an Autor" / "geht an Herstellung".</w:t>
      </w:r>
    </w:p>
    <w:p>
      <w:pPr>
        <w:pStyle w:val="ListNumber"/>
      </w:pPr>
      <w:r>
        <w:rPr>
          <w:b/>
        </w:rPr>
        <w:t>Marketing-Rohentwurf</w:t>
      </w:r>
      <w:r>
        <w:t xml:space="preserve"> mit benannten Lücken (Preis, KI-Kapitel, Cover, Citation).</w:t>
      </w:r>
    </w:p>
    <w:p>
      <w:pPr>
        <w:pStyle w:val="ListNumber"/>
      </w:pPr>
      <w:r>
        <w:rPr>
          <w:b/>
        </w:rPr>
        <w:t>Vorgehensvorschlag Niemczyk</w:t>
      </w:r>
      <w:r>
        <w:t xml:space="preserve"> -- Akte aus Buchhaltung anfordern, vor 3. Mahnungsstufe juristisch nichts behaupten.</w:t>
      </w:r>
    </w:p>
    <w:p>
      <w:pPr>
        <w:pStyle w:val="ListNumber"/>
      </w:pPr>
      <w:r>
        <w:rPr>
          <w:b/>
        </w:rPr>
        <w:t>Kurzvermerk Online-first</w:t>
      </w:r>
      <w:r>
        <w:t xml:space="preserve"> -- ob technisch und verlagsregeltauglich möglich, mit Verweis auf Volltext-Embargo.</w:t>
      </w:r>
    </w:p>
    <w:p>
      <w:pPr>
        <w:pStyle w:val="Heading2"/>
      </w:pPr>
      <w:r>
        <w:rPr>
          <w:rFonts w:ascii="Times New Roman" w:hAnsi="Times New Roman"/>
        </w:rPr>
        <w:t>Bewertungsmaßstab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gut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nicht ausreichend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Priorisierung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klare Reihenfolge mit Begründung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Reihenfolge ohne Begründung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Liste, keine Priorisierung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Tonfall Autoren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freundlich, konkret, nicht herablassend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freundlich, aber ohne konkrete Anforderung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herablassend oder unkonkret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Bildrechte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Ampel pro Abbildung mit Quelle und Lizenz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Sammelhinweis "Bildrechte prüfen"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übersehen oder als unkritisch eingestuft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Fristlogik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harte Fristen markiert, Vorfrist gesetzt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Fristen genannt, aber ohne Vorfrist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Fristen fehlen oder falsch zugeordnet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KI-Transparenz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sichtbar, was Mensch / was System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unklar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Verlagsregel KI 2025-03 nicht beachtet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Quellenpflicht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erfundenen Fundstellen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Fundstellen vorhanden, aber ohne Pinpoint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erfundene Aktenzeichen / Randnummern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Hinweise für die Heftleitung-Vertretung</w:t>
      </w:r>
    </w:p>
    <w:p>
      <w:pPr>
        <w:pStyle w:val="ListBullet"/>
      </w:pPr>
      <w:r>
        <w:t>Verlagsregel VA 2024-11 ("Online first nur bei freigegebener Manuskriptfassung") überlagert den Wunsch von Dr. Lenz; bei Konflikt eskaliert die Vertretung an Heftleiter Krenz (Mobil 0173/... in dringenden Fällen, sonst Mail).</w:t>
      </w:r>
    </w:p>
    <w:p>
      <w:pPr>
        <w:pStyle w:val="ListBullet"/>
      </w:pPr>
      <w:r>
        <w:t>Verlagsregel KI 2025-03 verlangt, dass jeder Beitrag, in dessen Erstellung KI eingebunden war, im Manuskript-Workflow gekennzeichnet wird (Feld "KI-Beteiligung: ja/nein/teilweise" in der Manuskript-Metadatenmaske).</w:t>
      </w:r>
    </w:p>
    <w:p>
      <w:pPr>
        <w:pStyle w:val="ListBullet"/>
      </w:pPr>
      <w:r>
        <w:t>Verlagsregel VA 2024-04 begrenzt Online-Archivlaufzeiten auf die Lizenzlaufzeit der eingebundenen Abbildungen.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