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Vertriebs-Jour-fixe -- Notiz und Tagesordnung</w:t>
      </w:r>
    </w:p>
    <w:p>
      <w:pPr>
        <w:jc w:val="left"/>
      </w:pPr>
      <w:r>
        <w:rPr>
          <w:b/>
        </w:rPr>
        <w:t>Termin:</w:t>
      </w:r>
      <w:r>
        <w:t xml:space="preserve"> Donnerstag, 04.06.2026, 10:00 -- 11:30 Uhr</w:t>
      </w:r>
    </w:p>
    <w:p>
      <w:pPr>
        <w:jc w:val="left"/>
      </w:pPr>
      <w:r>
        <w:rPr>
          <w:b/>
        </w:rPr>
        <w:t>Ort:</w:t>
      </w:r>
      <w:r>
        <w:t xml:space="preserve"> Verlagshaus Köln, Raum K-303 (große Heftbesprechung), Hybrid per Verlags-Konferenztool</w:t>
      </w:r>
    </w:p>
    <w:p>
      <w:pPr>
        <w:jc w:val="left"/>
      </w:pPr>
      <w:r>
        <w:rPr>
          <w:b/>
        </w:rPr>
        <w:t>Vorsitz:</w:t>
      </w:r>
      <w:r>
        <w:t xml:space="preserve"> Friederike Adam-Krenz (Leitung Vertrieb)</w:t>
      </w:r>
    </w:p>
    <w:p>
      <w:pPr>
        <w:jc w:val="left"/>
      </w:pPr>
      <w:r>
        <w:rPr>
          <w:b/>
        </w:rPr>
        <w:t>Sekretariat / Protokoll:</w:t>
      </w:r>
      <w:r>
        <w:t xml:space="preserve"> Iris Brandeberg</w:t>
      </w:r>
    </w:p>
    <w:p>
      <w:pPr>
        <w:pStyle w:val="Heading2"/>
      </w:pPr>
      <w:r>
        <w:rPr>
          <w:rFonts w:ascii="Times New Roman" w:hAnsi="Times New Roman"/>
        </w:rPr>
        <w:t>Teilnehmende (geladen)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Vertriebsleitung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Friederike Adam-Krenz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Verlagsleitung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Eberhard Falkenhayn-Reumont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Programmleitung 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 N. (Krenz in Elternzeit, Klee vertritt)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Vertretung Klee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Redaktion MFJ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Marlena Klee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Marketing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Lars-Bernhard Pötzsch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Susanne Aulich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zugesagt (online)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Lektorat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Imke Kerstien (Hausleitung)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Datenbankprodukte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Sabine Hoppe-Krüger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abgesagt (Konferenz Frankfurt)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eContent / Online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Murat Yıldız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zugesagt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t>Begrüßung, Genehmigung des Protokolls vom 07.05.2026.</w:t>
      </w:r>
    </w:p>
    <w:p>
      <w:pPr>
        <w:pStyle w:val="ListNumber"/>
      </w:pPr>
      <w:r>
        <w:rPr>
          <w:b/>
        </w:rPr>
        <w:t>Heft 7/2026</w:t>
      </w:r>
      <w:r>
        <w:t xml:space="preserve"> -- Status, Stopper, Druckslot KW 24.</w:t>
      </w:r>
    </w:p>
    <w:p>
      <w:pPr>
        <w:pStyle w:val="ListNumber"/>
      </w:pPr>
      <w:r>
        <w:rPr>
          <w:b/>
        </w:rPr>
        <w:t>Heft 8/2026</w:t>
      </w:r>
      <w:r>
        <w:t xml:space="preserve"> -- Themenplanung, Splitting Seidenpfennig (falls beschlossen).</w:t>
      </w:r>
    </w:p>
    <w:p>
      <w:pPr>
        <w:pStyle w:val="ListNumber"/>
      </w:pPr>
      <w:r>
        <w:rPr>
          <w:b/>
        </w:rPr>
        <w:t>Sommerpause:</w:t>
      </w:r>
      <w:r>
        <w:t xml:space="preserve"> Stopp-Datum, Vertretungsregelungen.</w:t>
      </w:r>
    </w:p>
    <w:p>
      <w:pPr>
        <w:pStyle w:val="ListNumber"/>
      </w:pPr>
      <w:r>
        <w:rPr>
          <w:b/>
        </w:rPr>
        <w:t>Buchprogramm Q4/2026</w:t>
      </w:r>
      <w:r>
        <w:t xml:space="preserve"> -- Handbuch Datenschutz in Verlagen, Auslieferung, Werbung.</w:t>
      </w:r>
    </w:p>
    <w:p>
      <w:pPr>
        <w:pStyle w:val="ListNumber"/>
      </w:pPr>
      <w:r>
        <w:rPr>
          <w:b/>
        </w:rPr>
        <w:t>Online-first-Praxis</w:t>
      </w:r>
      <w:r>
        <w:t xml:space="preserve"> -- Auslegung Verlagsregel VA 2024-11 nach Diskussion mit Dr. Lenz.</w:t>
      </w:r>
    </w:p>
    <w:p>
      <w:pPr>
        <w:pStyle w:val="ListNumber"/>
      </w:pPr>
      <w:r>
        <w:rPr>
          <w:b/>
        </w:rPr>
        <w:t>Buchhandlungs-Rückmeldungen</w:t>
      </w:r>
      <w:r>
        <w:t xml:space="preserve"> Mai 2026 (14 Rückmeldebögen).</w:t>
      </w:r>
    </w:p>
    <w:p>
      <w:pPr>
        <w:pStyle w:val="ListNumber"/>
      </w:pPr>
      <w:r>
        <w:rPr>
          <w:b/>
        </w:rPr>
        <w:t>Honorarvorgänge offene Posten</w:t>
      </w:r>
      <w:r>
        <w:t xml:space="preserve"> -- u. a. Niemczyk (Heft 5/2026).</w:t>
      </w:r>
    </w:p>
    <w:p>
      <w:pPr>
        <w:pStyle w:val="ListNumber"/>
      </w:pPr>
      <w:r>
        <w:rPr>
          <w:b/>
        </w:rPr>
        <w:t>KI-Richtlinie</w:t>
      </w:r>
      <w:r>
        <w:t xml:space="preserve"> -- Stand der Umsetzung VR KI 2025-03 in Redaktion / Lektorat / Marketing.</w:t>
      </w:r>
    </w:p>
    <w:p>
      <w:pPr>
        <w:pStyle w:val="ListNumber"/>
      </w:pPr>
      <w:r>
        <w:t>Verschiedenes.</w:t>
      </w:r>
    </w:p>
    <w:p>
      <w:pPr>
        <w:pStyle w:val="Heading2"/>
      </w:pPr>
      <w:r>
        <w:rPr>
          <w:rFonts w:ascii="Times New Roman" w:hAnsi="Times New Roman"/>
        </w:rPr>
        <w:t>Notizen Klee zu TOP 2 (Heft 7)</w:t>
      </w:r>
    </w:p>
    <w:p>
      <w:pPr>
        <w:jc w:val="left"/>
      </w:pPr>
      <w:r>
        <w:rPr>
          <w:b/>
        </w:rPr>
        <w:t>Eskalationsfälle für die Runde:</w:t>
      </w:r>
    </w:p>
    <w:p>
      <w:pPr>
        <w:pStyle w:val="ListBullet"/>
      </w:pPr>
      <w:r>
        <w:t>Seidenpfennig zu lang (28/20 Seiten). Vorschlag: Splitten, Teil I in Heft 7 (16 Seiten), Teil II in Heft 8 (12 Seiten). Risiko: Beitrag verliert Geschlossenheit; Risiko: Autorin könnte erbost reagieren, weil sie Splittung im Aprilschreiben abgelehnt hatte ("kein Fortsetzungsroman"). Alternative: Hartkürzung auf 20 Seiten -- realistisch, aber Abschnitt IV.3 müsste raus, was Vergleich mit US-Praxis ausschließt.</w:t>
      </w:r>
    </w:p>
    <w:p>
      <w:pPr>
        <w:pStyle w:val="ListBullet"/>
      </w:pPr>
      <w:r>
        <w:t>Rezension Rabenau ohne Screenshot -- Vorschlag Klee: Beitrag mit Hinweis "Folie hier nicht abgebildet, Beleg im Online-Anhang verfügbar" und mit alternativer Abbildung (z. B. Buchcover). Vertrieb wird voraussichtlich zustimmen, weil Bildrechtefehler im Streitfall teurer wären.</w:t>
      </w:r>
    </w:p>
    <w:p>
      <w:pPr>
        <w:pStyle w:val="ListBullet"/>
      </w:pPr>
      <w:r>
        <w:t>Online-first Lenz: Verlagsregel VA 2024-11 lehnt eine Vorabveröffentlichung vor Manuskriptfreigabe streng genommen ab. Klee schlägt vor: Online-first nur, wenn BGH-Volltext bis Mi 12:00 verfügbar und Manuskript bis Mi 16:00 freigegeben ist. Lenz hat signalisiert, sie könne damit leben.</w:t>
      </w:r>
    </w:p>
    <w:p>
      <w:pPr>
        <w:jc w:val="left"/>
      </w:pPr>
      <w:r>
        <w:rPr>
          <w:b/>
        </w:rPr>
        <w:t>Inhaltliche Stopper:</w:t>
      </w:r>
    </w:p>
    <w:p>
      <w:pPr>
        <w:pStyle w:val="ListBullet"/>
      </w:pPr>
      <w:r>
        <w:t>Editorial fehlt (Lenz).</w:t>
      </w:r>
    </w:p>
    <w:p>
      <w:pPr>
        <w:pStyle w:val="ListBullet"/>
      </w:pPr>
      <w:r>
        <w:t>Buchanzeige Datenschutz: Klappentext unfertig.</w:t>
      </w:r>
    </w:p>
    <w:p>
      <w:pPr>
        <w:pStyle w:val="ListBullet"/>
      </w:pPr>
      <w:r>
        <w:t>Nachrichtenmeldung Bundesrat DSA-DG fehlt.</w:t>
      </w:r>
    </w:p>
    <w:p>
      <w:pPr>
        <w:pStyle w:val="Heading2"/>
      </w:pPr>
      <w:r>
        <w:rPr>
          <w:rFonts w:ascii="Times New Roman" w:hAnsi="Times New Roman"/>
        </w:rPr>
        <w:t>Notizen Klee zu TOP 7 (Rückmeldungen Mai 2026)</w:t>
      </w:r>
    </w:p>
    <w:p>
      <w:pPr>
        <w:jc w:val="left"/>
      </w:pPr>
      <w:r>
        <w:t>Pötzsch hat 14 Rückmeldebögen aus Buchhandlungen aggregiert. Kerntenor:</w:t>
      </w:r>
    </w:p>
    <w:p>
      <w:pPr>
        <w:pStyle w:val="ListBullet"/>
      </w:pPr>
      <w:r>
        <w:t>"Praxisbeiträge oft zu spät im Heft, Aufsätze zu lang" -- bestätigt die Spannung Vertrieb / Wissenschaft.</w:t>
      </w:r>
    </w:p>
    <w:p>
      <w:pPr>
        <w:pStyle w:val="ListBullet"/>
      </w:pPr>
      <w:r>
        <w:t>"Schlechte Lesbarkeit der Tabellen in S/W-Druck" -- relevant für aktuelles Heft (Tabelle Greve S. 28).</w:t>
      </w:r>
    </w:p>
    <w:p>
      <w:pPr>
        <w:pStyle w:val="ListBullet"/>
      </w:pPr>
      <w:r>
        <w:t>"Online-Anhang funktioniert auf Tablet nicht zuverlässig" -- technische Frage an Yıldız.</w:t>
      </w:r>
    </w:p>
    <w:p>
      <w:pPr>
        <w:pStyle w:val="ListBullet"/>
      </w:pPr>
      <w:r>
        <w:t>"Bildqualität der Aufmacher manchmal überzogen werblich" -- für KI-Aufmacher Heft 7 prüfen.</w:t>
      </w:r>
    </w:p>
    <w:p>
      <w:pPr>
        <w:pStyle w:val="Heading2"/>
      </w:pPr>
      <w:r>
        <w:rPr>
          <w:rFonts w:ascii="Times New Roman" w:hAnsi="Times New Roman"/>
        </w:rPr>
        <w:t>Wahrscheinliche Konfliktpunkte in der Runde</w:t>
      </w:r>
    </w:p>
    <w:p>
      <w:pPr>
        <w:pStyle w:val="ListNumber"/>
      </w:pPr>
      <w:r>
        <w:rPr>
          <w:b/>
        </w:rPr>
        <w:t>Falkenhayn-Reumont gegen Lenz</w:t>
      </w:r>
      <w:r>
        <w:t xml:space="preserve"> zur Online-first-Auslegung. Falkenhayn-Reumont hat die VA 2024-11 selbst initiiert und nimmt Abweichungen persönlich. Lenz ist Mitherausgeberin und legt Wert auf Sichtbarkeit der Anmerkungen.</w:t>
      </w:r>
    </w:p>
    <w:p>
      <w:pPr>
        <w:pStyle w:val="ListNumber"/>
      </w:pPr>
      <w:r>
        <w:rPr>
          <w:b/>
        </w:rPr>
        <w:t>Pötzsch (Marketing) gegen Kerstien (Lektorat)</w:t>
      </w:r>
      <w:r>
        <w:t xml:space="preserve"> zur Tonalität des Klappentextes Datenschutz-Handbuch. Lektorat hält "lebendigere" Marketingsprache für unangemessen.</w:t>
      </w:r>
    </w:p>
    <w:p>
      <w:pPr>
        <w:pStyle w:val="ListNumber"/>
      </w:pPr>
      <w:r>
        <w:rPr>
          <w:b/>
        </w:rPr>
        <w:t>Adam-Krenz (Vertrieb) gegen Programm (Klee in Vertretung)</w:t>
      </w:r>
      <w:r>
        <w:t xml:space="preserve"> zum Splitting Seidenpfennig. Vertrieb will keine Fortsetzung über zwei Hefte, weil das die Backlist verwässert.</w:t>
      </w:r>
    </w:p>
    <w:p>
      <w:pPr>
        <w:pStyle w:val="ListNumber"/>
      </w:pPr>
      <w:r>
        <w:rPr>
          <w:b/>
        </w:rPr>
        <w:t>Yıldız (Online) gegen alle anderen</w:t>
      </w:r>
      <w:r>
        <w:t xml:space="preserve"> zur Frage, wie schnell Online-first technisch umsetzbar ist (Web-Team beschwert sich seit Monaten über kurzfristige Anlieferung).</w:t>
      </w:r>
    </w:p>
    <w:p>
      <w:pPr>
        <w:pStyle w:val="Heading2"/>
      </w:pPr>
      <w:r>
        <w:rPr>
          <w:rFonts w:ascii="Times New Roman" w:hAnsi="Times New Roman"/>
        </w:rPr>
        <w:t>Aktionspunkte (Vorab, Klee als Vertretung)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Mailentwurf Seidenpfennig (Kürzung / Splitting)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Klee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02.06.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Telko mit Lenz zur Online-first-Frage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Klee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02.06. 16:00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Klappentext Datenschutz-Handbuch v1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Klee + Pötzsch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03.06. 14:00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Vorbereitung Argument Falkenhayn-Reumont vs. VA 2024-11-Auslegung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Klee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Jour-fixe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Honorarvorgang Niemczyk -- Aktenlage zusammenführen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Buchhaltung Vincke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Jour-fixe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Vorlage KI-Beteiligung Heft 7 (Stand Felder im Manuskriptsystem)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Klee + Yıldız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Jour-fixe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 für die Vertretung</w:t>
      </w:r>
    </w:p>
    <w:p>
      <w:pPr>
        <w:jc w:val="left"/>
      </w:pPr>
      <w:r>
        <w:t>Falkenhayn-Reumont eröffnet die Runde gerne mit Kennzahlen aus dem Vormonat. Empfehlung: Klee sollte für TOP 2 nicht mit Problemen anfangen, sondern mit den fertigen Beiträgen (11 von 14) und dann die drei offenen Punkte ansprechen. Krenz hatte das in der letzten Runde so empfohlen.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