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— Eheliche Vermögensverhältnisse — Bestandsaufnahme</w:t>
      </w:r>
    </w:p>
    <w:p>
      <w:pPr>
        <w:jc w:val="left"/>
      </w:pPr>
      <w:r>
        <w:t>Stand: 30.04.2021 (Ehezeitende § 3 Abs. 1 VersAusglG, zugleich maßgeblicher Stichtag § 1384 BGB für das Endvermögen, da der Scheidungsantrag am 19.05.2021 zugestellt wurde).</w:t>
      </w:r>
    </w:p>
    <w:p>
      <w:pPr>
        <w:pStyle w:val="Heading2"/>
      </w:pPr>
      <w:r>
        <w:rPr>
          <w:rFonts w:ascii="Times New Roman" w:hAnsi="Times New Roman"/>
        </w:rPr>
        <w:t>Vermögen Ehefrau Leonie Schäfer</w:t>
      </w:r>
    </w:p>
    <w:p>
      <w:pPr>
        <w:pStyle w:val="Heading3"/>
      </w:pPr>
      <w:r>
        <w:rPr>
          <w:rFonts w:ascii="Times New Roman" w:hAnsi="Times New Roman"/>
        </w:rPr>
        <w:t>Aus eigenem Erwerb / Ersparnissen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zum 30.04.2021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Girokonto Sparkasse Nürnberg, Konto-Nr. 1147 332 880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4.281,16 €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Tagesgeld Sparkasse Nürnberg, Konto-Nr. 1147 332 901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21.500,00 €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Bausparvertrag Schwäbisch Hall, Vertrags-Nr. 7822 461 19 (Guthaben)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18.200,00 €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PKW Volkswagen Golf VII, Erstzulassung 11/2016, Schwacke ca.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9.500,00 €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Hausrat (anteilig 1/2 nach §§ 1361a BGB-Vermutung)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8.000,00 €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Eigen-Vermögen Ehefrau (ohne Erbschaft)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61.481,16 €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Aus Erbschaft Theodor Winterstein (Erbfall 14.03.2019)</w:t>
      </w:r>
    </w:p>
    <w:p>
      <w:pPr>
        <w:jc w:val="left"/>
      </w:pPr>
      <w:r>
        <w:t>Privilegiertes Anfangsvermögen § 1374 Abs. 2 BGB; nicht zum Zugewinn zu rechnen, soweit Substanz.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 14.03.2019 (Steuerbescheid FA Bamberg)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 30.04.2021 (Sachverständigen-Anhalt)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Mehrfamilienhaus Bamberg, Promenadestraße 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2.580.000 €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2.800.000 €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Gewerbeimmobilie Forchheim, Bayreuther Str. 88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1.420.000 €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1.500.000 €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Eigentumswohnung München-Schwabing, Hohenzollernstraße 47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870.000 €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950.000 €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Depot DZ Privatbank Nr. 4119 002 71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1.105.000 €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1.200.000 €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Festgeld Sparkasse Bamberg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410.000 €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450.000 €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Erbschaft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6.385.000 €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6.900.000 €</w:t>
            </w:r>
          </w:p>
        </w:tc>
      </w:tr>
    </w:tbl>
    <w:p>
      <w:pPr>
        <w:jc w:val="left"/>
      </w:pPr>
      <w:r>
        <w:t xml:space="preserve">Zwischen 14.03.2019 und 30.04.2021 sind aus der Substanz (Mieterträge, Dividenden, Zinsen) ca. </w:t>
      </w:r>
      <w:r>
        <w:rPr>
          <w:b/>
        </w:rPr>
        <w:t>522.300 €</w:t>
      </w:r>
      <w:r>
        <w:t xml:space="preserve"> zugeflossen, davon nach Auskunft der Mandantin ca. 348.000 € wieder reinvestiert (Modernisierung MFH Bamberg, Dachsanierung Forchheim, Wertpapierzukauf); ca. </w:t>
      </w:r>
      <w:r>
        <w:rPr>
          <w:b/>
        </w:rPr>
        <w:t>174.000 €</w:t>
      </w:r>
      <w:r>
        <w:t xml:space="preserve"> verblieben als Ertragsüberschuss in liquider Form. Diese Ertragsüberschüsse stehen dem Endvermögen zu, weil Erträge nicht zum privilegierten Anfangsvermögen gehören (BGH NJW 1996, 588).</w:t>
      </w:r>
    </w:p>
    <w:p>
      <w:pPr>
        <w:pStyle w:val="Heading3"/>
      </w:pPr>
      <w:r>
        <w:rPr>
          <w:rFonts w:ascii="Times New Roman" w:hAnsi="Times New Roman"/>
        </w:rPr>
        <w:t>Belastungen</w:t>
      </w:r>
    </w:p>
    <w:p>
      <w:pPr>
        <w:pStyle w:val="ListBullet"/>
      </w:pPr>
      <w:r>
        <w:t>Anteilige Restvaluta gemeinsame Immobilie Schweinauer Hauptstraße 144 (Sparkasse Nürnberg, Darlehensvertrag-Nr. 4127 9981): zum 30.04.2021 nominal 109.448,22 €; davon 1/2 Innenverhältnis = 54.724,11 €</w:t>
      </w:r>
    </w:p>
    <w:p>
      <w:pPr>
        <w:pStyle w:val="Heading2"/>
      </w:pPr>
      <w:r>
        <w:rPr>
          <w:rFonts w:ascii="Times New Roman" w:hAnsi="Times New Roman"/>
        </w:rPr>
        <w:t>Vermögen Ehemann Dr. Maximilian Schäfer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zum 30.04.2021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Zahnarztpraxis Hauptstraße 21, Erlangen — Ertragswert (Bewertung StB Dirk Hubrich 30.04.2021)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120.000 €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Kapitallebensversicherung Allianz, Police-Nr. 1141/7782/A, Rückkaufswert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85.000 €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Aktiendepot Consorsbank Depot-Nr. 1182 4471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35.000 €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Geschäftskonto Praxis Sparkasse Erlangen, Saldo per 30.04.2021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28.490,72 €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Privatgirokonto Maximilian, Sparkasse Erlangen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6.821,55 €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PKW Mercedes E-Klasse, Erstzulassung 03/2018, Schwacke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Hausrat (anteilig 1/2)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8.000 €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Aktiva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310.312,27 €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Praxiskredit Sparkasse Erlangen, Restvaluta 30.04.2021 (Darlehen 4711 002)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45.000 €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Anteilige Restvaluta gemeinsame Immobilie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54.724,11 €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Steuerrückstellung Einkommensteuer 2020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18.500 €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Reinvermögen Ehemann zum 30.04.2021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192.088,16 €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Gemeinsame Immobilie Schweinauer Hauptstraße 144 (Wohnsitz Ehefrau)</w:t>
      </w:r>
    </w:p>
    <w:p>
      <w:pPr>
        <w:pStyle w:val="ListBullet"/>
      </w:pPr>
      <w:r>
        <w:t>Verkehrswert (Maklergutachten Gilles Immobilien GmbH vom 12.04.2021): 1.080.000 €</w:t>
      </w:r>
    </w:p>
    <w:p>
      <w:pPr>
        <w:pStyle w:val="ListBullet"/>
      </w:pPr>
      <w:r>
        <w:t>Belastung Sparkasse Nürnberg: 109.448,22 €</w:t>
      </w:r>
    </w:p>
    <w:p>
      <w:pPr>
        <w:pStyle w:val="ListBullet"/>
      </w:pPr>
      <w:r>
        <w:t>Eigentum je 1/2 (Grundbuch AG Nürnberg, Schweinau Blatt 3441)</w:t>
      </w:r>
    </w:p>
    <w:p>
      <w:pPr>
        <w:pStyle w:val="ListBullet"/>
      </w:pPr>
      <w:r>
        <w:t>Vereinbarung: Die Mandantin übernimmt den hälftigen Miteigentumsanteil des Ehemanns gegen Zahlung von 485.275,89 € (1.080.000 € ./. 109.448,22 € ./. 2 + Ausgleich Modernisierungen). Diese Übernahme ist Teil der notariellen Vereinbarung vom 11.11.2021 (Aktenstück 05).</w:t>
      </w:r>
    </w:p>
    <w:p>
      <w:pPr>
        <w:pStyle w:val="Heading2"/>
      </w:pPr>
      <w:r>
        <w:rPr>
          <w:rFonts w:ascii="Times New Roman" w:hAnsi="Times New Roman"/>
        </w:rPr>
        <w:t>Zwischenergebnis Zugewinnausgleich (vorläufig)</w:t>
      </w:r>
    </w:p>
    <w:p>
      <w:pPr>
        <w:pStyle w:val="ListBullet"/>
      </w:pPr>
      <w:r>
        <w:t xml:space="preserve">Zugewinn Leonie: Endvermögen ohne Privilegiertes Anfangsvermögen, im Wesentlichen Ertragsüberschüsse aus der Erbschaft sowie eigene Ersparnisse; modelliert ca. </w:t>
      </w:r>
      <w:r>
        <w:rPr>
          <w:b/>
        </w:rPr>
        <w:t>174.000 € + 61.481,16 € = 235.481,16 €</w:t>
      </w:r>
    </w:p>
    <w:p>
      <w:pPr>
        <w:pStyle w:val="ListBullet"/>
      </w:pPr>
      <w:r>
        <w:t xml:space="preserve">Zugewinn Maximilian: Endvermögen 192.088,16 € abzüglich nominell-null Anfangsvermögen 1987 (bereinigt um Lebenshaltungsindex); modelliert ca. </w:t>
      </w:r>
      <w:r>
        <w:rPr>
          <w:b/>
        </w:rPr>
        <w:t>gut 770.000 € infolge Aufbau Praxiswert + Lebensversicherung + Aktien + Ersparnisse über die gesamte Ehezeit</w:t>
      </w:r>
    </w:p>
    <w:p>
      <w:pPr>
        <w:pStyle w:val="ListBullet"/>
      </w:pPr>
      <w:r>
        <w:t xml:space="preserve">Ausgleichsforderung 1/2 der Differenz zugunsten der Ehefrau gegen den Ehemann; rechnerisch in dieser Konstellation umgekehrt: die Ehefrau hat den höheren Zugewinn nicht erzielt, sodass eine Forderung </w:t>
      </w:r>
      <w:r>
        <w:rPr>
          <w:b/>
        </w:rPr>
        <w:t>des Ehemanns gegen die Ehefrau</w:t>
      </w:r>
      <w:r>
        <w:t xml:space="preserve"> vorläufig in Höhe von ca. 267.260 € entsteht. Die Beteiligten haben hierzu eine notarielle Pauschalierung auf 385.000 € vorgenommen, in der wirtschaftliche Posten (Hausrat, Modernisierungen, Versorgung Mandantin der Praxis) zusammengefasst sind (Aktenstück 05).</w:t>
      </w:r>
    </w:p>
    <w:p>
      <w:pPr>
        <w:ind w:left="567"/>
      </w:pPr>
      <w:r>
        <w:rPr>
          <w:i/>
        </w:rPr>
        <w:t>Hinweis: Diese Bestandsaufnahme dient dem Verständnis des Härteeinwands § 27 VersAusglG. Maßgeblich ist nicht der Zugewinn, sondern die Frage, ob die Ehefrau wegen ihres Vermögensbestandes auf den Versorgungsausgleich nicht angewiesen ist.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