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05 — Zugewinnausgleich — notarielle Vereinbarung vom 11.11.2021</w:t>
      </w:r>
    </w:p>
    <w:p>
      <w:pPr>
        <w:pStyle w:val="Heading2"/>
      </w:pPr>
      <w:r>
        <w:rPr>
          <w:rFonts w:ascii="Times New Roman" w:hAnsi="Times New Roman"/>
        </w:rPr>
        <w:t>Vorgeschichte</w:t>
      </w:r>
    </w:p>
    <w:p>
      <w:pPr>
        <w:jc w:val="left"/>
      </w:pPr>
      <w:r>
        <w:t xml:space="preserve">Die Beteiligten haben sich nach Vorlage der wechselseitigen Vermögensaufstellungen am 11.11.2021 vor dem Notar Dr. Holger Wamsdörfer, Notariat Pirckheimerstraße 12, 90408 Nürnberg, UR-Nr. 1417/2021/W getroffen und eine umfassende Vermögensauseinandersetzung </w:t>
      </w:r>
      <w:r>
        <w:rPr>
          <w:b/>
        </w:rPr>
        <w:t>beschränkt auf den Zugewinn</w:t>
      </w:r>
      <w:r>
        <w:t xml:space="preserve"> beurkundet.</w:t>
      </w:r>
    </w:p>
    <w:p>
      <w:pPr>
        <w:jc w:val="left"/>
      </w:pPr>
      <w:r>
        <w:t xml:space="preserve">Das Notariat hatte im Vorfeld einen Entwurf vom 28.10.2021 verteilt; beide Anwälte (Söll-Rödelsteiner für die Mandantin, Vorndran für den Ehemann) haben den Entwurf überprüft und in einem Streichungsumlauf 04. und 09.11.2021 zwei Klauseln (Steuerbeistand und Versorgungsausgleich) gestrichen. Der Versorgungsausgleich wurde </w:t>
      </w:r>
      <w:r>
        <w:rPr>
          <w:b/>
        </w:rPr>
        <w:t>ausdrücklich ausgenommen</w:t>
      </w:r>
      <w:r>
        <w:t>, weil die Bewertung der Versorgungsanrechte zum Beurkundungstermin noch nicht vorlag.</w:t>
      </w:r>
    </w:p>
    <w:p>
      <w:pPr>
        <w:pStyle w:val="Heading2"/>
      </w:pPr>
      <w:r>
        <w:rPr>
          <w:rFonts w:ascii="Times New Roman" w:hAnsi="Times New Roman"/>
        </w:rPr>
        <w:t>Vereinbarter Wortlaut der Schlüsselklauseln (Auszug)</w:t>
      </w:r>
    </w:p>
    <w:p>
      <w:pPr>
        <w:ind w:left="567"/>
      </w:pPr>
      <w:r>
        <w:rPr>
          <w:b/>
          <w:i/>
        </w:rPr>
        <w:t>§ 2 Zugewinnausgleich</w:t>
      </w:r>
    </w:p>
    <w:p>
      <w:pPr>
        <w:ind w:left="567"/>
      </w:pPr>
      <w:r>
        <w:rPr>
          <w:i/>
        </w:rPr>
        <w:t xml:space="preserve">(1) Die Beteiligten sind sich darüber einig, dass im Wege pauschaler Vermögensauseinandersetzung Frau Leonie Schäfer an Herrn Dr. Maximilian Schäfer einen Zugewinnausgleich in Höhe von </w:t>
      </w:r>
      <w:r>
        <w:rPr>
          <w:b/>
          <w:i/>
        </w:rPr>
        <w:t>385.000,00 €</w:t>
      </w:r>
      <w:r>
        <w:rPr>
          <w:i/>
        </w:rPr>
        <w:t xml:space="preserve"> (in Worten: dreihundertfünfundachtzigtausend Euro) leistet.</w:t>
      </w:r>
    </w:p>
    <w:p>
      <w:pPr>
        <w:ind w:left="567"/>
      </w:pPr>
      <w:r>
        <w:rPr>
          <w:i/>
        </w:rPr>
        <w:t>(2) Die Zahlung erfolgt in zwei Tranchen: 200.000,00 € binnen 14 Tagen nach Beurkundung, 185.000,00 € binnen weiterer 90 Tage; bei vorzeitiger Zahlung sind keine Zinsen geschuldet.</w:t>
      </w:r>
    </w:p>
    <w:p>
      <w:pPr>
        <w:ind w:left="567"/>
      </w:pPr>
      <w:r>
        <w:rPr>
          <w:i/>
        </w:rPr>
        <w:t xml:space="preserve">(3) Mit Vollzug dieser Vereinbarung sind sämtliche </w:t>
      </w:r>
      <w:r>
        <w:rPr>
          <w:b/>
          <w:i/>
        </w:rPr>
        <w:t>wechselseitigen Ansprüche aus dem gesetzlichen Güterstand der Zugewinngemeinschaft</w:t>
      </w:r>
      <w:r>
        <w:rPr>
          <w:i/>
        </w:rPr>
        <w:t xml:space="preserve"> abgegolten und erledigt. Ausgenommen bleiben Ansprüche aus dem ehelichen Versorgungsausgleich, die der gerichtlichen Entscheidung im anhängigen Verbundverfahren AG Nürnberg-Fürth, Az. 110 F 2418/21, vorbehalten bleiben.</w:t>
      </w:r>
    </w:p>
    <w:p>
      <w:pPr>
        <w:ind w:left="567"/>
      </w:pPr>
    </w:p>
    <w:p>
      <w:pPr>
        <w:ind w:left="567"/>
      </w:pPr>
      <w:r>
        <w:rPr>
          <w:b/>
          <w:i/>
        </w:rPr>
        <w:t>§ 3 Immobilie Schweinauer Hauptstraße 144</w:t>
      </w:r>
    </w:p>
    <w:p>
      <w:pPr>
        <w:ind w:left="567"/>
      </w:pPr>
      <w:r>
        <w:rPr>
          <w:i/>
        </w:rPr>
        <w:t>(1) Frau Leonie Schäfer übernimmt mit Wirkung dieser Urkunde den hälftigen Miteigentumsanteil des Herrn Dr. Maximilian Schäfer am Grundstück Schweinauer Hauptstraße 144, 90441 Nürnberg, eingetragen im Grundbuch des Amtsgerichts Nürnberg, Schweinau Blatt 3441.</w:t>
      </w:r>
    </w:p>
    <w:p>
      <w:pPr>
        <w:ind w:left="567"/>
      </w:pPr>
      <w:r>
        <w:rPr>
          <w:i/>
        </w:rPr>
        <w:t>(2) Der Ausgleich für die Übernahme ist in der Pauschalsumme nach § 2 (1) bereits eingerechnet.</w:t>
      </w:r>
    </w:p>
    <w:p>
      <w:pPr>
        <w:ind w:left="567"/>
      </w:pPr>
      <w:r>
        <w:rPr>
          <w:i/>
        </w:rPr>
        <w:t>(3) Die im Grundbuch in Abteilung III eingetragene Grundschuld in Höhe von 280.000,00 € zugunsten der Sparkasse Nürnberg samt darauf valutierender Forderung wird von Frau Schäfer im Innenverhältnis allein übernommen; Herr Dr. Schäfer wird im Außenverhältnis bei der Sparkasse Nürnberg aus der Mithaftung entlassen.</w:t>
      </w:r>
    </w:p>
    <w:p>
      <w:pPr>
        <w:ind w:left="567"/>
      </w:pPr>
    </w:p>
    <w:p>
      <w:pPr>
        <w:ind w:left="567"/>
      </w:pPr>
      <w:r>
        <w:rPr>
          <w:b/>
          <w:i/>
        </w:rPr>
        <w:t>§ 6 Hausrat</w:t>
      </w:r>
    </w:p>
    <w:p>
      <w:pPr>
        <w:ind w:left="567"/>
      </w:pPr>
      <w:r>
        <w:rPr>
          <w:i/>
        </w:rPr>
        <w:t>(1) Der Hausrat ist nach beigefügter Liste (Anlage HR-1) bereits aufgeteilt; weitere Ansprüche bestehen nicht.</w:t>
      </w:r>
    </w:p>
    <w:p>
      <w:pPr>
        <w:ind w:left="567"/>
      </w:pPr>
    </w:p>
    <w:p>
      <w:pPr>
        <w:ind w:left="567"/>
      </w:pPr>
      <w:r>
        <w:rPr>
          <w:b/>
          <w:i/>
        </w:rPr>
        <w:t>§ 8 Versorgungsausgleich — ausdrücklich nicht geregelt</w:t>
      </w:r>
    </w:p>
    <w:p>
      <w:pPr>
        <w:ind w:left="567"/>
      </w:pPr>
      <w:r>
        <w:rPr>
          <w:i/>
        </w:rPr>
        <w:t>Die Beteiligten halten ausdrücklich fest, dass mit dieser Vereinbarung keine Regelung über den Versorgungsausgleich getroffen wird. Beide Beteiligten behalten sich insoweit ihre vollumfänglichen Rechte vor.</w:t>
      </w:r>
    </w:p>
    <w:p>
      <w:pPr>
        <w:pStyle w:val="Heading2"/>
      </w:pPr>
      <w:r>
        <w:rPr>
          <w:rFonts w:ascii="Times New Roman" w:hAnsi="Times New Roman"/>
        </w:rPr>
        <w:t>Vollzug</w:t>
      </w:r>
    </w:p>
    <w:p>
      <w:pPr>
        <w:pStyle w:val="ListBullet"/>
      </w:pPr>
      <w:r>
        <w:t>Zahlung 1. Tranche 200.000 € am 24.11.2021 (Sparkasse Nürnberg → Sparkasse Erlangen, Buchungstext „ZGA Schäfer 1/2")</w:t>
      </w:r>
    </w:p>
    <w:p>
      <w:pPr>
        <w:pStyle w:val="ListBullet"/>
      </w:pPr>
      <w:r>
        <w:t>Zahlung 2. Tranche 185.000 € am 03.02.2022 (Buchungstext „ZGA Schäfer 2/2 final")</w:t>
      </w:r>
    </w:p>
    <w:p>
      <w:pPr>
        <w:pStyle w:val="ListBullet"/>
      </w:pPr>
      <w:r>
        <w:t>Eintragung der Eigentumsübertragung Schweinauer Hauptstraße 144 im Grundbuch am 19.01.2022</w:t>
      </w:r>
    </w:p>
    <w:p>
      <w:pPr>
        <w:pStyle w:val="ListBullet"/>
      </w:pPr>
      <w:r>
        <w:t>Entlassung des Ehemanns aus der Mithaftung Grundschuld durch Sparkasse Nürnberg am 02.03.2022</w:t>
      </w:r>
    </w:p>
    <w:p>
      <w:pPr>
        <w:jc w:val="left"/>
      </w:pPr>
      <w:r>
        <w:t xml:space="preserve">Damit ist der Zugewinn vollständig abgewickelt. Die Vereinbarung enthält </w:t>
      </w:r>
      <w:r>
        <w:rPr>
          <w:b/>
        </w:rPr>
        <w:t>keinerlei</w:t>
      </w:r>
      <w:r>
        <w:t xml:space="preserve"> Regelung zum Versorgungsausgleich. Eine Auslegung der Pauschale als „verkappten" Versorgungsausgleich scheidet aus; § 8 der Urkunde stellt dies ausdrücklich klar.</w:t>
      </w:r>
    </w:p>
    <w:p>
      <w:pPr>
        <w:pStyle w:val="Heading2"/>
      </w:pPr>
      <w:r>
        <w:rPr>
          <w:rFonts w:ascii="Times New Roman" w:hAnsi="Times New Roman"/>
        </w:rPr>
        <w:t>Strategische Würdigung</w:t>
      </w:r>
    </w:p>
    <w:p>
      <w:pPr>
        <w:jc w:val="left"/>
      </w:pPr>
      <w:r>
        <w:t>Das OLG Nürnberg hat in seinem Beschluss vom 14.11.2022 die notarielle Vereinbarung als „Indiz" für eine umfassende Vermögensauseinandersetzung verwertet, ohne § 8 der Urkunde überhaupt zu erwähnen. Diese Auslegung verfehlt den Inhalt der Urkunde. Sie ist BGH-rügefähig (Verkennung des Erklärungsinhalts, § 133 BGB; Beweiswürdigung § 286 ZPO i. V. m. § 113 FamFG).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