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Rückfragen an die BSAG vor Clean-Entwurf</w:t>
      </w:r>
    </w:p>
    <w:p>
      <w:pPr>
        <w:pStyle w:val="Heading2"/>
      </w:pPr>
      <w:r>
        <w:rPr>
          <w:rFonts w:ascii="Times New Roman" w:hAnsi="Times New Roman"/>
        </w:rPr>
        <w:t>Status</w:t>
      </w:r>
    </w:p>
    <w:p>
      <w:pPr>
        <w:jc w:val="left"/>
      </w:pPr>
      <w:r>
        <w:t>Erstellt 18.05.2026 nach Mapping. Adressat: Frau Helma Tietjen, Leitung Immobilienmanagement BSAG, helma.tietjen@bsag.example. CC: RA Klotzkette, Mandant Karl Scherflein.</w:t>
      </w:r>
    </w:p>
    <w:p>
      <w:pPr>
        <w:pStyle w:val="Heading2"/>
      </w:pPr>
      <w:r>
        <w:rPr>
          <w:rFonts w:ascii="Times New Roman" w:hAnsi="Times New Roman"/>
        </w:rPr>
        <w:t>Pflicht-Rückfragen (vor Clean-Entwurf zwingend)</w:t>
      </w:r>
    </w:p>
    <w:p>
      <w:pPr>
        <w:pStyle w:val="ListNumber"/>
      </w:pPr>
      <w:r>
        <w:rPr>
          <w:b/>
        </w:rPr>
        <w:t>Registerdaten Mieter:</w:t>
      </w:r>
      <w:r>
        <w:t xml:space="preserve"> Wir benötigen Registergericht, Handelsregisternummer und USt-IdNr. der Scherflein GmbH zur Einsetzung in das Rubrum und zur Pruefung der USt-Option nach § 9 UStG. Bitte beigefügten Handelsregisterauszug übersenden.</w:t>
      </w:r>
    </w:p>
    <w:p>
      <w:pPr>
        <w:pStyle w:val="ListNumber"/>
      </w:pPr>
      <w:r>
        <w:rPr>
          <w:b/>
        </w:rPr>
        <w:t>Verlängerungsoption:</w:t>
      </w:r>
      <w:r>
        <w:t xml:space="preserve"> Die generische Vorlage sieht zwei Verlängerungsoptionen über je zwei Jahre vor. Das Term Sheet weist zweimal drei Jahre aus. Welche Variante soll im Vertrag stehen? Wir nehmen ohne Gegennachricht die Term-Sheet-Variante (2 x 3 Jahre).</w:t>
      </w:r>
    </w:p>
    <w:p>
      <w:pPr>
        <w:pStyle w:val="ListNumber"/>
      </w:pPr>
      <w:r>
        <w:rPr>
          <w:b/>
        </w:rPr>
        <w:t>Konkurrenzschutz:</w:t>
      </w:r>
      <w:r>
        <w:t xml:space="preserve"> Das Term Sheet enthält einen Konkurrenzschutz im Umkreis von 150 Metern. Soll der Konkurrenzschutz vollumfaenglich übernommen werden oder mit Ausnahmen für BSAG-eigene Automatenanlagen, Kaffee-Carts und temporäre Veranstaltungsstände?</w:t>
      </w:r>
    </w:p>
    <w:p>
      <w:pPr>
        <w:pStyle w:val="ListNumber"/>
      </w:pPr>
      <w:r>
        <w:rPr>
          <w:b/>
        </w:rPr>
        <w:t>Sortimentsbindung:</w:t>
      </w:r>
      <w:r>
        <w:t xml:space="preserve"> Soll das Sortiment auf Imbiss, Zeitungen und Lotto exklusiv beschränkt bleiben, oder soll ein Erweiterungsvorbehalt nach Zustimmung BSAG vereinbart werden (Praefranzlosspielautomaten, Backwaren)?</w:t>
      </w:r>
    </w:p>
    <w:p>
      <w:pPr>
        <w:pStyle w:val="ListNumber"/>
      </w:pPr>
      <w:r>
        <w:rPr>
          <w:b/>
        </w:rPr>
        <w:t>Rückbaupflicht:</w:t>
      </w:r>
      <w:r>
        <w:t xml:space="preserve"> Das Term Sheet sieht eine Ausnahme für "genehmigte Einbauten" vor. Soll der Vertrag eine Liste der vorab genehmigten Einbauten (Tresen, Kühlvitrine, Fritteuse, Heissgetraenkemaschine) als Anlage enthalten, damit der Umfang der Rückbaupflicht klar abgegrenzt ist?</w:t>
      </w:r>
    </w:p>
    <w:p>
      <w:pPr>
        <w:pStyle w:val="ListNumber"/>
      </w:pPr>
      <w:r>
        <w:rPr>
          <w:b/>
        </w:rPr>
        <w:t>Unterzeichner BSAG:</w:t>
      </w:r>
      <w:r>
        <w:t xml:space="preserve"> Wer unterschreibt für die BSAG (Vorstandsmitglied mit Vertretungsbefugnis, Prokurist, Leiter Immobilienmanagement mit Spezialvollmacht)? Bitte Funktion und ggf. Vollmachtsnachweis beifügen.</w:t>
      </w:r>
    </w:p>
    <w:p>
      <w:pPr>
        <w:pStyle w:val="Heading2"/>
      </w:pPr>
      <w:r>
        <w:rPr>
          <w:rFonts w:ascii="Times New Roman" w:hAnsi="Times New Roman"/>
        </w:rPr>
        <w:t>Optionale Rückfragen</w:t>
      </w:r>
    </w:p>
    <w:p>
      <w:pPr>
        <w:pStyle w:val="ListNumber"/>
      </w:pPr>
      <w:r>
        <w:rPr>
          <w:b/>
        </w:rPr>
        <w:t>Fettabscheider:</w:t>
      </w:r>
      <w:r>
        <w:t xml:space="preserve"> Soll der Wartungsvertrag direkt von der BSAG bei der Fa. Aquaflow geschlossen werden (Kosten über Nebenkostenpauschale) oder vom Mieter selbst (Nachweis halbjährlich vorzulegen)?</w:t>
      </w:r>
    </w:p>
    <w:p>
      <w:pPr>
        <w:pStyle w:val="ListNumber"/>
      </w:pPr>
      <w:r>
        <w:rPr>
          <w:b/>
        </w:rPr>
        <w:t>Abfallentsorgung:</w:t>
      </w:r>
      <w:r>
        <w:t xml:space="preserve"> Frequenz "mindestens zweimal pro Woche" - genügt ein Nachweis über Vertrag mit der Bremer Stadtreinigung, oder soll ein konkreter Abholplan beigelegt werden?</w:t>
      </w:r>
    </w:p>
    <w:p>
      <w:pPr>
        <w:pStyle w:val="ListNumber"/>
      </w:pPr>
      <w:r>
        <w:rPr>
          <w:b/>
        </w:rPr>
        <w:t>Werbung am Kiosk:</w:t>
      </w:r>
      <w:r>
        <w:t xml:space="preserve"> Sind Werbeflächen am Kiosk (Leuchtschriften, Klebefolien an der Glasfront) Sache des Mieters oder unterliegen sie der Genehmigung BSAG, weil sie an einer Haltestelle stehen?</w:t>
      </w:r>
    </w:p>
    <w:p>
      <w:pPr>
        <w:pStyle w:val="ListNumber"/>
      </w:pPr>
      <w:r>
        <w:rPr>
          <w:b/>
        </w:rPr>
        <w:t>Track Changes:</w:t>
      </w:r>
      <w:r>
        <w:t xml:space="preserve"> Soll zusätzlich zum Clean-Entwurf eine Track-Changes-Fassung gegen die Vorlage erstellt werden? Default: nein, nur Clean-Entwurf.</w:t>
      </w:r>
    </w:p>
    <w:p>
      <w:pPr>
        <w:pStyle w:val="Heading2"/>
      </w:pPr>
      <w:r>
        <w:rPr>
          <w:rFonts w:ascii="Times New Roman" w:hAnsi="Times New Roman"/>
        </w:rPr>
        <w:t>Frist</w:t>
      </w:r>
    </w:p>
    <w:p>
      <w:pPr>
        <w:jc w:val="left"/>
      </w:pPr>
      <w:r>
        <w:t>Antwort erbeten bis 22.05.2026, damit Clean-Entwurf zum 25.05.2026 versandfertig ist. Übergabe Kiosk ist für 30.06.2026, 09:00 Uhr vorgesehen.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