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Clean-Entwurf Checkliste</w:t>
      </w:r>
    </w:p>
    <w:p>
      <w:pPr>
        <w:pStyle w:val="Heading2"/>
      </w:pPr>
      <w:r>
        <w:rPr>
          <w:rFonts w:ascii="Times New Roman" w:hAnsi="Times New Roman"/>
        </w:rPr>
        <w:t>Status</w:t>
      </w:r>
    </w:p>
    <w:p>
      <w:pPr>
        <w:jc w:val="left"/>
      </w:pPr>
      <w:r>
        <w:t>Vorzulegen vor jedem Versand eines Clean-Entwurfs an Mieter oder Vermieter. Erstellt durch RA Klotzkette, Stand 18.05.2026.</w:t>
      </w:r>
    </w:p>
    <w:p>
      <w:pPr>
        <w:pStyle w:val="Heading2"/>
      </w:pPr>
      <w:r>
        <w:rPr>
          <w:rFonts w:ascii="Times New Roman" w:hAnsi="Times New Roman"/>
        </w:rPr>
        <w:t>Pflicht-Prüfungen</w:t>
      </w:r>
    </w:p>
    <w:p>
      <w:pPr>
        <w:pStyle w:val="ListBullet"/>
      </w:pPr>
      <w:r>
        <w:t xml:space="preserve">[ ] </w:t>
      </w:r>
      <w:r>
        <w:rPr>
          <w:b/>
        </w:rPr>
        <w:t>Parteienrubrum vollständig:</w:t>
      </w:r>
      <w:r>
        <w:t xml:space="preserve"> Vermieter (BSAG inkl. Anschrift, Vorstand, Handelsregister Bremen HRB 24501), Mieter (Scherflein GmbH inkl. Anschrift, Registerdaten, USt-IdNr., Geschäftsführer).</w:t>
      </w:r>
    </w:p>
    <w:p>
      <w:pPr>
        <w:pStyle w:val="ListBullet"/>
      </w:pPr>
      <w:r>
        <w:t xml:space="preserve">[ ] </w:t>
      </w:r>
      <w:r>
        <w:rPr>
          <w:b/>
        </w:rPr>
        <w:t>Mietobjekt:</w:t>
      </w:r>
      <w:r>
        <w:t xml:space="preserve"> Adresse, Fläche (18 qm Verkauf + 6 qm Lager), Lage im Haltestellenbereich (Bahnsteig West), Nutzungsbeschreibung übereinstimmend mit Term Sheet.</w:t>
      </w:r>
    </w:p>
    <w:p>
      <w:pPr>
        <w:pStyle w:val="ListBullet"/>
      </w:pPr>
      <w:r>
        <w:t xml:space="preserve">[ ] </w:t>
      </w:r>
      <w:r>
        <w:rPr>
          <w:b/>
        </w:rPr>
        <w:t>Mietzins:</w:t>
      </w:r>
      <w:r>
        <w:t xml:space="preserve"> Kaltmiete (1.450,00 EUR), Nebenkostenpauschale (320,00 EUR), Gesamtmiete (1.770,00 EUR) - jeweils in Ziffern UND in Worten ("eintausendvierhundertfuenfzig Euro").</w:t>
      </w:r>
    </w:p>
    <w:p>
      <w:pPr>
        <w:pStyle w:val="ListBullet"/>
      </w:pPr>
      <w:r>
        <w:t xml:space="preserve">[ ] </w:t>
      </w:r>
      <w:r>
        <w:rPr>
          <w:b/>
        </w:rPr>
        <w:t>Umsatzsteueroption:</w:t>
      </w:r>
      <w:r>
        <w:t xml:space="preserve"> Klausel zur Option nach § 9 UStG eingefügt; Vorsteuerbescheinigung Scherflein liegt vor (Anlage 4).</w:t>
      </w:r>
    </w:p>
    <w:p>
      <w:pPr>
        <w:pStyle w:val="ListBullet"/>
      </w:pPr>
      <w:r>
        <w:t xml:space="preserve">[ ] </w:t>
      </w:r>
      <w:r>
        <w:rPr>
          <w:b/>
        </w:rPr>
        <w:t>Kaution:</w:t>
      </w:r>
      <w:r>
        <w:t xml:space="preserve"> Drei Bruttomonatsmieten (5.310,00 EUR oder mit USt 6.318,90 EUR) - klarstellen, ob brutto oder netto.</w:t>
      </w:r>
    </w:p>
    <w:p>
      <w:pPr>
        <w:pStyle w:val="ListBullet"/>
      </w:pPr>
      <w:r>
        <w:t xml:space="preserve">[ ] </w:t>
      </w:r>
      <w:r>
        <w:rPr>
          <w:b/>
        </w:rPr>
        <w:t>Laufzeit:</w:t>
      </w:r>
      <w:r>
        <w:t xml:space="preserve"> Festmietzeit 01.07.2026 bis 30.06.2031 (fünf Jahre) eindeutig; Verlängerungsoption 2 x 3 Jahre konsistent mit Term Sheet (NICHT 2 x 2 wie in Vorlage).</w:t>
      </w:r>
    </w:p>
    <w:p>
      <w:pPr>
        <w:pStyle w:val="ListBullet"/>
      </w:pPr>
      <w:r>
        <w:t xml:space="preserve">[ ] </w:t>
      </w:r>
      <w:r>
        <w:rPr>
          <w:b/>
        </w:rPr>
        <w:t>Kündigungsrechte:</w:t>
      </w:r>
      <w:r>
        <w:t xml:space="preserve"> Ordentlich nach Ende Festzeit + Optionen; ausserordentlich nach Gesetz; keine versteckten Sonderkündigungsrechte.</w:t>
      </w:r>
    </w:p>
    <w:p>
      <w:pPr>
        <w:pStyle w:val="ListBullet"/>
      </w:pPr>
      <w:r>
        <w:t xml:space="preserve">[ ] </w:t>
      </w:r>
      <w:r>
        <w:rPr>
          <w:b/>
        </w:rPr>
        <w:t>Sonderbedingungen eingebaut:</w:t>
      </w:r>
      <w:r>
        <w:t xml:space="preserve"> Konkurrenzschutz § 8a, Sortimentsbindung § 8b, Fettabscheider § 10a, Abfall zweimal pro Woche § 10 Abs. 3, Rückbau § 14 mit Ausnahme genehmigte Einbauten.</w:t>
      </w:r>
    </w:p>
    <w:p>
      <w:pPr>
        <w:pStyle w:val="ListBullet"/>
      </w:pPr>
      <w:r>
        <w:t xml:space="preserve">[ ] </w:t>
      </w:r>
      <w:r>
        <w:rPr>
          <w:b/>
        </w:rPr>
        <w:t>Anlagen verzeichnet:</w:t>
      </w:r>
      <w:r>
        <w:t xml:space="preserve"> Lageplan, Grundriss mit Flaechenmass, Übergabeprotokoll-Muster, Vorsteuerbescheinigung, Liste vorab genehmigter Einbauten.</w:t>
      </w:r>
    </w:p>
    <w:p>
      <w:pPr>
        <w:pStyle w:val="Heading2"/>
      </w:pPr>
      <w:r>
        <w:rPr>
          <w:rFonts w:ascii="Times New Roman" w:hAnsi="Times New Roman"/>
        </w:rPr>
        <w:t>Form-Prüfungen</w:t>
      </w:r>
    </w:p>
    <w:p>
      <w:pPr>
        <w:pStyle w:val="ListBullet"/>
      </w:pPr>
      <w:r>
        <w:t xml:space="preserve">[ ] Alle Klammerstellen </w:t>
      </w:r>
      <w:r>
        <w:t>&lt;&lt; ... &gt;&gt;</w:t>
      </w:r>
      <w:r>
        <w:t xml:space="preserve"> ersetzt - mit </w:t>
      </w:r>
      <w:r>
        <w:t>grep</w:t>
      </w:r>
      <w:r>
        <w:t xml:space="preserve"> über das DOCX prüfen.</w:t>
      </w:r>
    </w:p>
    <w:p>
      <w:pPr>
        <w:pStyle w:val="ListBullet"/>
      </w:pPr>
      <w:r>
        <w:t>[ ] Schriftbild durchgängig (Calibri 11, Überschriften Calibri 12 bold, einheitliche Absatzformatierung).</w:t>
      </w:r>
    </w:p>
    <w:p>
      <w:pPr>
        <w:pStyle w:val="ListBullet"/>
      </w:pPr>
      <w:r>
        <w:t>[ ] Seitenzahlen, Fusszeile mit Aktenzeichen VAF-2026-BSAG-007.</w:t>
      </w:r>
    </w:p>
    <w:p>
      <w:pPr>
        <w:pStyle w:val="ListBullet"/>
      </w:pPr>
      <w:r>
        <w:t>[ ] Unterschriftenblock für beide Seiten mit Ort, Datum, Name, Funktion.</w:t>
      </w:r>
    </w:p>
    <w:p>
      <w:pPr>
        <w:pStyle w:val="ListBullet"/>
      </w:pPr>
      <w:r>
        <w:t>[ ] Keine Track-Changes-Reste, keine internen Kommentare.</w:t>
      </w:r>
    </w:p>
    <w:p>
      <w:pPr>
        <w:pStyle w:val="Heading2"/>
      </w:pPr>
      <w:r>
        <w:rPr>
          <w:rFonts w:ascii="Times New Roman" w:hAnsi="Times New Roman"/>
        </w:rPr>
        <w:t>Inhalt-Prüfungen</w:t>
      </w:r>
    </w:p>
    <w:p>
      <w:pPr>
        <w:pStyle w:val="ListBullet"/>
      </w:pPr>
      <w:r>
        <w:t>[ ] Mietzweck (Imbiss/Zeitungen/Lotto) und Sortimentsbindung widerspruchsfrei.</w:t>
      </w:r>
    </w:p>
    <w:p>
      <w:pPr>
        <w:pStyle w:val="ListBullet"/>
      </w:pPr>
      <w:r>
        <w:t>[ ] Konkurrenzschutz-Klausel deckt sich mit den Antworten der BSAG (Umfang, Ausnahmen).</w:t>
      </w:r>
    </w:p>
    <w:p>
      <w:pPr>
        <w:pStyle w:val="ListBullet"/>
      </w:pPr>
      <w:r>
        <w:t>[ ] Wertsicherungsklausel - nur falls vereinbart; bei diesem Vertrag aktuell NICHT vereinbart, daher streichen.</w:t>
      </w:r>
    </w:p>
    <w:p>
      <w:pPr>
        <w:pStyle w:val="ListBullet"/>
      </w:pPr>
      <w:r>
        <w:t>[ ] Schriftformklausel: jede Änderung schriftlich, auch der Änderungsvorbehalt selbst (BGH zur doppelten Schriftformklausel beachten).</w:t>
      </w:r>
    </w:p>
    <w:p>
      <w:pPr>
        <w:pStyle w:val="ListBullet"/>
      </w:pPr>
      <w:r>
        <w:t>[ ] Gerichtsstand und anwendbares Recht (Bremen, deutsches Recht).</w:t>
      </w:r>
    </w:p>
    <w:p>
      <w:pPr>
        <w:pStyle w:val="Heading2"/>
      </w:pPr>
      <w:r>
        <w:rPr>
          <w:rFonts w:ascii="Times New Roman" w:hAnsi="Times New Roman"/>
        </w:rPr>
        <w:t>Pruefung Mandanteninteressen</w:t>
      </w:r>
    </w:p>
    <w:p>
      <w:pPr>
        <w:pStyle w:val="ListBullet"/>
      </w:pPr>
      <w:r>
        <w:t xml:space="preserve">[ ] Rückfragen aus </w:t>
      </w:r>
      <w:r>
        <w:t>03_rueckfragen_bsag.md</w:t>
      </w:r>
      <w:r>
        <w:t xml:space="preserve"> beantwortet und im Entwurf umgesetzt.</w:t>
      </w:r>
    </w:p>
    <w:p>
      <w:pPr>
        <w:pStyle w:val="ListBullet"/>
      </w:pPr>
      <w:r>
        <w:t>[ ] Risiken (Konkurrenzschutz-Ausnahmen, Rückbauumfang) im Mandantenbrief angesprochen.</w:t>
      </w:r>
    </w:p>
    <w:p>
      <w:pPr>
        <w:pStyle w:val="ListBullet"/>
      </w:pPr>
      <w:r>
        <w:t>[ ] Bei Abweichungen vom Term Sheet erfolgt schriftlicher Hinweis im Versandschreiben.</w:t>
      </w:r>
    </w:p>
    <w:p>
      <w:pPr>
        <w:pStyle w:val="Heading2"/>
      </w:pPr>
      <w:r>
        <w:rPr>
          <w:rFonts w:ascii="Times New Roman" w:hAnsi="Times New Roman"/>
        </w:rPr>
        <w:t>Track Changes</w:t>
      </w:r>
    </w:p>
    <w:p>
      <w:pPr>
        <w:pStyle w:val="ListBullet"/>
      </w:pPr>
      <w:r>
        <w:t>[ ] Track-Changes-Fassung NICHT erstellen, sofern nicht ausdrücklich angefordert. Mandantenbrief bzw. BSAG-Antwort dokumentieren.</w:t>
      </w:r>
    </w:p>
    <w:p>
      <w:pPr>
        <w:pStyle w:val="ListBullet"/>
      </w:pPr>
      <w:r>
        <w:t>[ ] Bei Anforderung: Vergleichsdokument gegen die generische BSAG-Vorlage erstellen, alle Änderungen sichtbar, jede Klausel kommentiert.</w:t>
      </w:r>
    </w:p>
    <w:p>
      <w:pPr>
        <w:pStyle w:val="Heading2"/>
      </w:pPr>
      <w:r>
        <w:rPr>
          <w:rFonts w:ascii="Times New Roman" w:hAnsi="Times New Roman"/>
        </w:rPr>
        <w:t>Versand</w:t>
      </w:r>
    </w:p>
    <w:p>
      <w:pPr>
        <w:pStyle w:val="ListBullet"/>
      </w:pPr>
      <w:r>
        <w:t>[ ] Clean-Entwurf als PDF und DOCX an BSAG und Scherflein GmbH.</w:t>
      </w:r>
    </w:p>
    <w:p>
      <w:pPr>
        <w:pStyle w:val="ListBullet"/>
      </w:pPr>
      <w:r>
        <w:t xml:space="preserve">[ ] Kopie Aktenexemplar in </w:t>
      </w:r>
      <w:r>
        <w:t>claude-fuer-deutsches-recht/testakten/vertragsausfueller-bsag-kiosk-huckelriede/clean_entwurf/</w:t>
      </w:r>
      <w:r>
        <w:t>.</w:t>
      </w:r>
    </w:p>
    <w:p>
      <w:pPr>
        <w:pStyle w:val="ListBullet"/>
      </w:pPr>
      <w:r>
        <w:t>[ ] Fristenlauf für Rueckaeusserung (sieben Tage) im Fristenkalender setzen.</w:t>
      </w:r>
    </w:p>
    <w:p>
      <w:pPr>
        <w:pStyle w:val="ListBullet"/>
      </w:pPr>
      <w:r>
        <w:t>[ ] Erst nach Freigabe beider Seiten: Unterschriftstermin koordinieren (Notar nicht zwingend, gewerbliches Mietverhältnis).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