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Entscheidungsvorlage</w:t>
      </w:r>
    </w:p>
    <w:p>
      <w:pPr>
        <w:pStyle w:val="Heading2"/>
      </w:pPr>
      <w:r>
        <w:rPr>
          <w:rFonts w:ascii="Times New Roman" w:hAnsi="Times New Roman"/>
        </w:rPr>
        <w:t>Gegenstand</w:t>
      </w:r>
    </w:p>
    <w:p>
      <w:pPr>
        <w:jc w:val="left"/>
      </w:pPr>
      <w:r>
        <w:t xml:space="preserve">Dieses Aktenstück fasst die bisherigen Unterlagen zum Vorgang </w:t>
      </w:r>
      <w:r>
        <w:rPr>
          <w:b/>
        </w:rPr>
        <w:t>Kiosk Huckelriede Vertragsausfüllung</w:t>
      </w:r>
      <w:r>
        <w:t xml:space="preserve"> nicht bloß zusammen, sondern arbeitet die entscheidungsfähige Prüfungsfassung aus. Die Akte ist in der bisherigen Form fragmentarisch: Einzelne Mails sind zu knapp, Tabellen enthalten nur Stichworte, und manche Anlagen nennen ein Problem, ohne den rechtlichen Gedankengang auszuführen. Dieses Langgutachten schließt diese Lücke.</w:t>
      </w:r>
    </w:p>
    <w:p>
      <w:pPr>
        <w:pStyle w:val="Heading2"/>
      </w:pPr>
      <w:r>
        <w:rPr>
          <w:rFonts w:ascii="Times New Roman" w:hAnsi="Times New Roman"/>
        </w:rPr>
        <w:t>Prüfungsprogramm</w:t>
      </w:r>
    </w:p>
    <w:p>
      <w:pPr>
        <w:jc w:val="left"/>
      </w:pPr>
      <w:r>
        <w:t>Der Fall wird entlang folgender Themen bearbeitet: Miet-/Pacht-/Liefervertrag, AGB, Nachtrag, Schriftform, Gewährleistung, Preisanpassung, Kündigung und Vollständigkeitskontrolle. Für jedes Thema wird getrennt gefragt, ob es bereits entscheidungsreif ist, ob weitere Tatsachen fehlen oder ob zunächst nur ein Risikovermerk möglich ist.</w:t>
      </w:r>
    </w:p>
    <w:p>
      <w:pPr>
        <w:pStyle w:val="Heading3"/>
      </w:pPr>
      <w:r>
        <w:rPr>
          <w:rFonts w:ascii="Times New Roman" w:hAnsi="Times New Roman"/>
        </w:rPr>
        <w:t>1. Tatsachenbasis</w:t>
      </w:r>
    </w:p>
    <w:p>
      <w:pPr>
        <w:jc w:val="left"/>
      </w:pPr>
      <w:r>
        <w:t>Die bisherige Akte enthält mehrere Beweistypen. Verwertbar sind Originaldokumente, unterschriebene Entwürfe, Bescheide, Registerauszüge, Vertragsfassungen, Fristnotizen und E-Mails mit erkennbarem Absender. Nur eingeschränkt verwertbar sind spätere Zusammenfassungen, Screenshots ohne Kontext, Gesprächsnotizen ohne Datum und bloße Erinnerungen. Deshalb ist jede rechtliche Schlussfolgerung in diesem Gutachten mit einem Beweistyp verknüpft.</w:t>
      </w:r>
    </w:p>
    <w:p>
      <w:pPr>
        <w:jc w:val="left"/>
      </w:pPr>
      <w:r>
        <w:t>Der wichtigste Fehler wäre, den Fall schon deshalb als geklärt anzusehen, weil ein Dokument einen prägnanten Titel trägt. Ein Dokument mit der Überschrift „Final“ kann rechtlich unverbindlich sein. Ein E-Mail-Anhang kann überholt sein. Ein Protokoll kann inhaltlich falsch wiedergeben, was beschlossen wurde. Deshalb wird zunächst eine Beweismatrix geführt.</w:t>
      </w:r>
    </w:p>
    <w:p>
      <w:pPr>
        <w:pStyle w:val="Heading3"/>
      </w:pPr>
      <w:r>
        <w:rPr>
          <w:rFonts w:ascii="Times New Roman" w:hAnsi="Times New Roman"/>
        </w:rPr>
        <w:t>2. Rechtliche Hauptfrage</w:t>
      </w:r>
    </w:p>
    <w:p>
      <w:pPr>
        <w:jc w:val="left"/>
      </w:pPr>
      <w:r>
        <w:t>Die Hauptfrage ist nicht, ob das gewünschte Ergebnis wirtschaftlich sinnvoll wäre. Die Hauptfrage lautet, ob die konkrete Handlung auf der vorhandenen Tatsachengrundlage rechtlich trägt. Dafür müssen Zuständigkeit, Form, Frist, materielle Voraussetzungen, Ermessen beziehungsweise Bewertungsspielraum, Dokumentation und Rechtsfolge einzeln geprüft werden.</w:t>
      </w:r>
    </w:p>
    <w:p>
      <w:pPr>
        <w:jc w:val="left"/>
      </w:pPr>
      <w:r>
        <w:t>Bei der Prüfung darf die Bearbeitung nicht in eine bloße Checkliste abrutschen. Gerade in dieser Akte hängen mehrere Teilfragen voneinander ab. Eine formal richtige Erklärung kann wertlos sein, wenn sie an die falsche Stelle gerichtet ist. Eine materiell gute Position kann verloren gehen, wenn sie zu spät oder ohne Beleg vorgebracht wird. Eine taktisch attraktive Offenlegung kann schaden, wenn sie ohne Not interne Bewertungen preisgibt.</w:t>
      </w:r>
    </w:p>
    <w:p>
      <w:pPr>
        <w:pStyle w:val="Heading3"/>
      </w:pPr>
      <w:r>
        <w:rPr>
          <w:rFonts w:ascii="Times New Roman" w:hAnsi="Times New Roman"/>
        </w:rPr>
        <w:t>3. Subsumtion nach Aktenstand</w:t>
      </w:r>
    </w:p>
    <w:p>
      <w:pPr>
        <w:jc w:val="left"/>
      </w:pPr>
      <w:r>
        <w:t>Nach dem derzeitigen Stand spricht vieles dafür, dass mindestens ein rechtlicher Angriffspunkt besteht. Zugleich ist die Verteidigungslinie nicht fertig. Die stärkste Position ergibt sich aus den Unterlagen, die schon vor dem Konflikt entstanden sind. Schwächer sind Dokumente, die erkennbar erst nach dem Streit formuliert wurden.</w:t>
      </w:r>
    </w:p>
    <w:p>
      <w:pPr>
        <w:jc w:val="left"/>
      </w:pPr>
      <w:r>
        <w:t>Die Bearbeitung muss deshalb drei Ebenen unterscheiden:</w:t>
      </w:r>
    </w:p>
    <w:p>
      <w:pPr>
        <w:pStyle w:val="ListBullet"/>
      </w:pPr>
      <w:r>
        <w:rPr>
          <w:b/>
        </w:rPr>
        <w:t>sichere Tatsachen:</w:t>
      </w:r>
      <w:r>
        <w:t xml:space="preserve"> Datum, Beteiligte, vorhandene Originale, Zugang, sichtbarer Inhalt;</w:t>
      </w:r>
    </w:p>
    <w:p>
      <w:pPr>
        <w:pStyle w:val="ListBullet"/>
      </w:pPr>
      <w:r>
        <w:rPr>
          <w:b/>
        </w:rPr>
        <w:t>plausible, aber offene Tatsachen:</w:t>
      </w:r>
      <w:r>
        <w:t xml:space="preserve"> interne Freigabe, Gesprächsinhalt, wirtschaftlicher Zweck, tatsächliche Kenntnis;</w:t>
      </w:r>
    </w:p>
    <w:p>
      <w:pPr>
        <w:pStyle w:val="ListBullet"/>
      </w:pPr>
      <w:r>
        <w:rPr>
          <w:b/>
        </w:rPr>
        <w:t>bloße Bewertungen:</w:t>
      </w:r>
      <w:r>
        <w:t xml:space="preserve"> „üblich“, „unproblematisch“, „nur Formalie“, „hatten wir immer so gemacht“.</w:t>
      </w:r>
    </w:p>
    <w:p>
      <w:pPr>
        <w:jc w:val="left"/>
      </w:pPr>
      <w:r>
        <w:t>Nur die erste Ebene darf ohne Einschränkung in ein Außenschreiben. Die zweite Ebene kann als Prüfstand dargestellt werden. Die dritte Ebene gehört in die interne Risikodiskussion, nicht in die externe Einlassung.</w:t>
      </w:r>
    </w:p>
    <w:p>
      <w:pPr>
        <w:pStyle w:val="Heading3"/>
      </w:pPr>
      <w:r>
        <w:rPr>
          <w:rFonts w:ascii="Times New Roman" w:hAnsi="Times New Roman"/>
        </w:rPr>
        <w:t>4. Gegenposition</w:t>
      </w:r>
    </w:p>
    <w:p>
      <w:pPr>
        <w:jc w:val="left"/>
      </w:pPr>
      <w:r>
        <w:t>Die Gegenseite wird voraussichtlich nicht nur einen Einzelfehler behaupten, sondern ein Organisationsdefizit. Sie wird sagen, die Mandantenseite habe nicht dokumentiert, nicht rechtzeitig geprüft oder die rechtliche Einordnung bewusst offengelassen. Diese Gegenposition ist ernst zu nehmen, weil sie oft weniger am einzelnen Dokument als an der Gesamterscheinung der Akte ansetzt.</w:t>
      </w:r>
    </w:p>
    <w:p>
      <w:pPr>
        <w:jc w:val="left"/>
      </w:pPr>
      <w:r>
        <w:t>Dagegen hilft keine schroffe Abwehrformel. Besser ist eine nüchterne Darstellung: Was ist belegt? Was wird geprüft? Was wurde korrigiert? Was wird bestritten? Welche rechtliche Wertung bleibt vorbehalten?</w:t>
      </w:r>
    </w:p>
    <w:p>
      <w:pPr>
        <w:pStyle w:val="Heading3"/>
      </w:pPr>
      <w:r>
        <w:rPr>
          <w:rFonts w:ascii="Times New Roman" w:hAnsi="Times New Roman"/>
        </w:rPr>
        <w:t>5. Handlungsempfehlung</w:t>
      </w:r>
    </w:p>
    <w:p>
      <w:pPr>
        <w:jc w:val="left"/>
      </w:pPr>
      <w:r>
        <w:t>Empfohlen wird folgender Ablauf:</w:t>
      </w:r>
    </w:p>
    <w:p>
      <w:pPr>
        <w:pStyle w:val="ListNumber"/>
      </w:pPr>
      <w:r>
        <w:t>Originalunterlagen sichern und nummerieren.</w:t>
      </w:r>
    </w:p>
    <w:p>
      <w:pPr>
        <w:pStyle w:val="ListNumber"/>
      </w:pPr>
      <w:r>
        <w:t>Fristenkalender mit Verantwortlichkeit erstellen.</w:t>
      </w:r>
    </w:p>
    <w:p>
      <w:pPr>
        <w:pStyle w:val="ListNumber"/>
      </w:pPr>
      <w:r>
        <w:t>Eine kurze Außenantwort vorbereiten, die Eingang bestätigt und Prüfstand strukturiert.</w:t>
      </w:r>
    </w:p>
    <w:p>
      <w:pPr>
        <w:pStyle w:val="ListNumber"/>
      </w:pPr>
      <w:r>
        <w:t>Intern ein Langmemo mit Risikoampel führen.</w:t>
      </w:r>
    </w:p>
    <w:p>
      <w:pPr>
        <w:pStyle w:val="ListNumber"/>
      </w:pPr>
      <w:r>
        <w:t>Nach Aktenvervollständigung eine endgültige Stellungnahme verfassen.</w:t>
      </w:r>
    </w:p>
    <w:p>
      <w:pPr>
        <w:pStyle w:val="ListNumber"/>
      </w:pPr>
      <w:r>
        <w:t>Bei Vergleichs- oder Behördenkontakt nur vorher freigegebene Tatsachen verwenden.</w:t>
      </w:r>
    </w:p>
    <w:p>
      <w:pPr>
        <w:pStyle w:val="Heading3"/>
      </w:pPr>
      <w:r>
        <w:rPr>
          <w:rFonts w:ascii="Times New Roman" w:hAnsi="Times New Roman"/>
        </w:rPr>
        <w:t>6. Entwurf einer Entscheidungsvorlage</w:t>
      </w:r>
    </w:p>
    <w:p>
      <w:pPr>
        <w:jc w:val="left"/>
      </w:pPr>
      <w:r>
        <w:rPr>
          <w:b/>
        </w:rPr>
        <w:t>Option A: defensive Minimalantwort.</w:t>
      </w:r>
      <w:r>
        <w:t xml:space="preserve"> Vorteil: geringe Selbstbelastung, schnelle Fristwahrung. Nachteil: wirkt ausweichend, wenn die Gegenseite konkrete Belege erwartet.</w:t>
      </w:r>
    </w:p>
    <w:p>
      <w:pPr>
        <w:jc w:val="left"/>
      </w:pPr>
      <w:r>
        <w:rPr>
          <w:b/>
        </w:rPr>
        <w:t>Option B: strukturierte Teiloffenlegung.</w:t>
      </w:r>
      <w:r>
        <w:t xml:space="preserve"> Vorteil: glaubwürdig und kooperativ, ohne die Rechtsposition aufzugeben. Nachteil: benötigt saubere interne Abstimmung.</w:t>
      </w:r>
    </w:p>
    <w:p>
      <w:pPr>
        <w:jc w:val="left"/>
      </w:pPr>
      <w:r>
        <w:rPr>
          <w:b/>
        </w:rPr>
        <w:t>Option C: umfassende Stellungnahme.</w:t>
      </w:r>
      <w:r>
        <w:t xml:space="preserve"> Vorteil: kann Verfahren beenden oder Vertrauen herstellen. Nachteil: hohes Risiko, wenn Unterlagen noch Lücken haben.</w:t>
      </w:r>
    </w:p>
    <w:p>
      <w:pPr>
        <w:jc w:val="left"/>
      </w:pPr>
      <w:r>
        <w:t>Derzeit ist Option B vorzugswürdig. Sie erlaubt Kontrolle über die Erzählung, vermeidet unnötige Anerkenntnisse und zwingt die Akte in eine belastbare Ordnung.</w:t>
      </w:r>
    </w:p>
    <w:p>
      <w:pPr>
        <w:pStyle w:val="Heading2"/>
      </w:pPr>
      <w:r>
        <w:rPr>
          <w:rFonts w:ascii="Times New Roman" w:hAnsi="Times New Roman"/>
        </w:rPr>
        <w:t>Offene Nachforderungen</w:t>
      </w:r>
    </w:p>
    <w:p>
      <w:pPr>
        <w:pStyle w:val="ListBullet"/>
      </w:pPr>
      <w:r>
        <w:t>finale Vertrags-/Bescheid-/Beschlussfassung mit Datum;</w:t>
      </w:r>
    </w:p>
    <w:p>
      <w:pPr>
        <w:pStyle w:val="ListBullet"/>
      </w:pPr>
      <w:r>
        <w:t>Zugangsnachweis;</w:t>
      </w:r>
    </w:p>
    <w:p>
      <w:pPr>
        <w:pStyle w:val="ListBullet"/>
      </w:pPr>
      <w:r>
        <w:t>Liste der entscheidungsbefugten Personen;</w:t>
      </w:r>
    </w:p>
    <w:p>
      <w:pPr>
        <w:pStyle w:val="ListBullet"/>
      </w:pPr>
      <w:r>
        <w:t>interne Freigabehistorie;</w:t>
      </w:r>
    </w:p>
    <w:p>
      <w:pPr>
        <w:pStyle w:val="ListBullet"/>
      </w:pPr>
      <w:r>
        <w:t>Zahlenbasis;</w:t>
      </w:r>
    </w:p>
    <w:p>
      <w:pPr>
        <w:pStyle w:val="ListBullet"/>
      </w:pPr>
      <w:r>
        <w:t>technische oder fachliche Anlage;</w:t>
      </w:r>
    </w:p>
    <w:p>
      <w:pPr>
        <w:pStyle w:val="ListBullet"/>
      </w:pPr>
      <w:r>
        <w:t>Nachweis, ob eine frühere Fassung abgelöst wurde.</w:t>
      </w:r>
    </w:p>
    <w:p>
      <w:pPr>
        <w:pStyle w:val="Heading2"/>
      </w:pPr>
      <w:r>
        <w:rPr>
          <w:rFonts w:ascii="Times New Roman" w:hAnsi="Times New Roman"/>
        </w:rPr>
        <w:t>Ergebnis</w:t>
      </w:r>
    </w:p>
    <w:p>
      <w:pPr>
        <w:jc w:val="left"/>
      </w:pPr>
      <w:r>
        <w:t>Die Akte ist bearbeitbar, aber noch nicht entscheidungsreif. Ein juristisch guter nächster Schritt ist eine knappe, kontrollierte Außenkommunikation und parallel eine harte interne Beweisordnung. Erst danach sollte die endgültige rechtliche Bewertung ausgegeben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